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山西大学危险废物处置服务（SDDY-21003）单一来源征求意见公示</w:t>
      </w:r>
    </w:p>
    <w:p>
      <w:pPr>
        <w:rPr>
          <w:rFonts w:hint="eastAsia" w:ascii="黑体" w:hAnsi="黑体" w:eastAsia="黑体"/>
          <w:sz w:val="28"/>
          <w:szCs w:val="28"/>
          <w:lang w:val="en-US" w:eastAsia="zh-CN"/>
        </w:rPr>
      </w:pPr>
      <w:r>
        <w:rPr>
          <w:rFonts w:hint="eastAsia" w:ascii="黑体" w:hAnsi="黑体" w:eastAsia="黑体"/>
          <w:sz w:val="28"/>
          <w:szCs w:val="28"/>
          <w:lang w:val="en-US" w:eastAsia="zh-CN"/>
        </w:rPr>
        <w:t>一、项目信息</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lang w:val="en-US" w:eastAsia="zh-CN"/>
        </w:rPr>
        <w:t>采购人：</w:t>
      </w:r>
      <w:r>
        <w:rPr>
          <w:rFonts w:hint="eastAsia" w:ascii="仿宋" w:hAnsi="仿宋" w:eastAsia="仿宋"/>
          <w:sz w:val="28"/>
          <w:szCs w:val="28"/>
          <w:u w:val="single"/>
          <w:lang w:val="en-US" w:eastAsia="zh-CN"/>
        </w:rPr>
        <w:t>山西大学</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项目名称：</w:t>
      </w:r>
      <w:r>
        <w:rPr>
          <w:rFonts w:hint="eastAsia" w:ascii="仿宋" w:hAnsi="仿宋" w:eastAsia="仿宋"/>
          <w:sz w:val="28"/>
          <w:szCs w:val="28"/>
          <w:u w:val="single"/>
          <w:lang w:val="en-US" w:eastAsia="zh-CN"/>
        </w:rPr>
        <w:t>危险废物处置服务</w:t>
      </w:r>
    </w:p>
    <w:p>
      <w:pPr>
        <w:ind w:firstLine="560" w:firstLineChars="200"/>
        <w:rPr>
          <w:rFonts w:hint="eastAsia" w:ascii="仿宋" w:hAnsi="仿宋" w:eastAsia="仿宋"/>
          <w:sz w:val="28"/>
          <w:szCs w:val="28"/>
          <w:lang w:val="zh-CN"/>
        </w:rPr>
      </w:pPr>
      <w:r>
        <w:rPr>
          <w:rFonts w:hint="eastAsia" w:ascii="仿宋" w:hAnsi="仿宋" w:eastAsia="仿宋"/>
          <w:sz w:val="28"/>
          <w:szCs w:val="28"/>
          <w:lang w:val="en-US" w:eastAsia="zh-CN"/>
        </w:rPr>
        <w:t>拟采购的货物和服务说明：</w:t>
      </w:r>
      <w:r>
        <w:rPr>
          <w:rFonts w:hint="eastAsia" w:ascii="仿宋" w:hAnsi="仿宋" w:eastAsia="仿宋"/>
          <w:sz w:val="28"/>
          <w:szCs w:val="28"/>
          <w:lang w:val="zh-CN"/>
        </w:rPr>
        <w:t>山西大学教学、科研时产生危险废物(毒性、腐蚀性和化学反应性的化学废液、废化学试剂、废有机溶剂、固体废弃物等)及剧毒化学品需要处理，根据《危险废物经营许可管理办法》(国务院令408号)、《中华人民共和国固体废物污染环境防治法》之规定禁止将危险废物提供或者委托给无经营许可证的单位从事收集、贮存、处置的经营活动。</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拟采购的货物和服务的预算金额：</w:t>
      </w:r>
      <w:r>
        <w:rPr>
          <w:rFonts w:hint="eastAsia" w:ascii="仿宋" w:hAnsi="仿宋" w:eastAsia="仿宋"/>
          <w:sz w:val="28"/>
          <w:szCs w:val="28"/>
          <w:u w:val="single"/>
          <w:lang w:val="en-US" w:eastAsia="zh-CN"/>
        </w:rPr>
        <w:t>500000</w:t>
      </w:r>
      <w:r>
        <w:rPr>
          <w:rFonts w:hint="eastAsia" w:ascii="仿宋" w:hAnsi="仿宋" w:eastAsia="仿宋"/>
          <w:sz w:val="28"/>
          <w:szCs w:val="28"/>
          <w:lang w:val="en-US" w:eastAsia="zh-CN"/>
        </w:rPr>
        <w:t>元</w:t>
      </w:r>
    </w:p>
    <w:p>
      <w:pPr>
        <w:ind w:firstLine="560" w:firstLineChars="200"/>
        <w:rPr>
          <w:rFonts w:hint="eastAsia" w:ascii="仿宋" w:hAnsi="仿宋" w:eastAsia="仿宋"/>
          <w:sz w:val="28"/>
          <w:szCs w:val="28"/>
          <w:lang w:val="zh-CN"/>
        </w:rPr>
      </w:pPr>
      <w:r>
        <w:rPr>
          <w:rFonts w:hint="eastAsia" w:ascii="仿宋" w:hAnsi="仿宋" w:eastAsia="仿宋"/>
          <w:sz w:val="28"/>
          <w:szCs w:val="28"/>
          <w:lang w:val="en-US" w:eastAsia="zh-CN"/>
        </w:rPr>
        <w:t>采用单一来源采购方式的原因及说明：</w:t>
      </w:r>
      <w:r>
        <w:rPr>
          <w:rFonts w:hint="eastAsia" w:ascii="仿宋" w:hAnsi="仿宋" w:eastAsia="仿宋"/>
          <w:sz w:val="28"/>
          <w:szCs w:val="28"/>
          <w:lang w:val="zh-CN"/>
        </w:rPr>
        <w:t>根据我单位危险废物的组成，处置企业必须具备环保部门认可并颁发的危险废物经营许可证，并核准经营相应危险废物类别，必须包括废药物药品（HW03）、有机溶剂废物(HW06)、含氰废物(HW07）、新化学物质废物</w:t>
      </w:r>
      <w:r>
        <w:rPr>
          <w:rFonts w:hint="eastAsia" w:ascii="仿宋" w:hAnsi="仿宋" w:eastAsia="仿宋"/>
          <w:sz w:val="28"/>
          <w:szCs w:val="28"/>
          <w:lang w:val="zh-CN" w:eastAsia="zh-CN"/>
        </w:rPr>
        <w:t>（</w:t>
      </w:r>
      <w:r>
        <w:rPr>
          <w:rFonts w:hint="eastAsia" w:ascii="仿宋" w:hAnsi="仿宋" w:eastAsia="仿宋"/>
          <w:sz w:val="28"/>
          <w:szCs w:val="28"/>
          <w:lang w:val="en-US" w:eastAsia="zh-CN"/>
        </w:rPr>
        <w:t>HW14</w:t>
      </w:r>
      <w:r>
        <w:rPr>
          <w:rFonts w:hint="eastAsia" w:ascii="仿宋" w:hAnsi="仿宋" w:eastAsia="仿宋"/>
          <w:sz w:val="28"/>
          <w:szCs w:val="28"/>
          <w:lang w:val="zh-CN" w:eastAsia="zh-CN"/>
        </w:rPr>
        <w:t>）、</w:t>
      </w:r>
      <w:r>
        <w:rPr>
          <w:rFonts w:hint="eastAsia" w:ascii="仿宋" w:hAnsi="仿宋" w:eastAsia="仿宋"/>
          <w:sz w:val="28"/>
          <w:szCs w:val="28"/>
          <w:lang w:val="zh-CN"/>
        </w:rPr>
        <w:t>重金属废物（HW20- HW31）、无机氟化物废物(HW32)、无机氰化物废物(HW33）、废酸(HW34)、废碱(HW35）、含酚废物(HW39)、含醚废物(HW40）、含有机卤化物废物(HW45)</w:t>
      </w:r>
      <w:r>
        <w:rPr>
          <w:rFonts w:hint="eastAsia" w:ascii="仿宋" w:hAnsi="仿宋" w:eastAsia="仿宋"/>
          <w:sz w:val="28"/>
          <w:szCs w:val="28"/>
          <w:lang w:val="zh-CN" w:eastAsia="zh-CN"/>
        </w:rPr>
        <w:t>、</w:t>
      </w:r>
      <w:r>
        <w:rPr>
          <w:rFonts w:hint="eastAsia" w:ascii="仿宋" w:hAnsi="仿宋" w:eastAsia="仿宋"/>
          <w:sz w:val="28"/>
          <w:szCs w:val="28"/>
          <w:lang w:val="en-US" w:eastAsia="zh-CN"/>
        </w:rPr>
        <w:t>其他废物（HW49）</w:t>
      </w:r>
      <w:r>
        <w:rPr>
          <w:rFonts w:hint="eastAsia" w:ascii="仿宋" w:hAnsi="仿宋" w:eastAsia="仿宋"/>
          <w:sz w:val="28"/>
          <w:szCs w:val="28"/>
          <w:lang w:val="zh-CN"/>
        </w:rPr>
        <w:t>，并不仅限于上述类别；同时处置企业必须拥有专门废弃化学品运输车辆、专业的技术人员、专业的设备设施，并办理相关的许可证、执照、证书等。</w:t>
      </w:r>
    </w:p>
    <w:p>
      <w:pPr>
        <w:ind w:firstLine="560" w:firstLineChars="200"/>
        <w:rPr>
          <w:rFonts w:hint="eastAsia" w:ascii="仿宋" w:hAnsi="仿宋" w:eastAsia="仿宋"/>
          <w:sz w:val="28"/>
          <w:szCs w:val="28"/>
          <w:lang w:val="zh-CN"/>
        </w:rPr>
      </w:pPr>
      <w:r>
        <w:rPr>
          <w:rFonts w:hint="eastAsia" w:ascii="仿宋" w:hAnsi="仿宋" w:eastAsia="仿宋"/>
          <w:sz w:val="28"/>
          <w:szCs w:val="28"/>
          <w:lang w:val="zh-CN"/>
        </w:rPr>
        <w:t>具有危险废物综合经营许可证(收集、贮存、处置)资质并且必须同时具有剧毒废物处置的企业，核准类别HW03、HW06、HW07、HW14、HW20、HW29、HW31、HW32、HW33、HW34、HW35、HW39、HW40、HW45、HW49，为避免剧毒废物运输过程产生污染等不确定性因素，按照</w:t>
      </w:r>
      <w:r>
        <w:rPr>
          <w:rFonts w:hint="eastAsia" w:ascii="仿宋" w:hAnsi="仿宋" w:eastAsia="仿宋"/>
          <w:sz w:val="28"/>
          <w:szCs w:val="28"/>
          <w:lang w:val="zh-CN" w:eastAsia="zh-CN"/>
        </w:rPr>
        <w:t>危险品</w:t>
      </w:r>
      <w:r>
        <w:rPr>
          <w:rFonts w:hint="eastAsia" w:ascii="仿宋" w:hAnsi="仿宋" w:eastAsia="仿宋"/>
          <w:sz w:val="28"/>
          <w:szCs w:val="28"/>
          <w:lang w:val="zh-CN"/>
        </w:rPr>
        <w:t>就近运输和处置的原则，在山西省内只有山西省太原固体废物处置中心(有限公司)。故本项目拟采取单一来源方式采购。</w:t>
      </w:r>
    </w:p>
    <w:p>
      <w:pPr>
        <w:pStyle w:val="2"/>
        <w:numPr>
          <w:ilvl w:val="0"/>
          <w:numId w:val="0"/>
        </w:numPr>
        <w:ind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二、拟定供应商信息</w:t>
      </w:r>
    </w:p>
    <w:p>
      <w:pPr>
        <w:widowControl/>
        <w:wordWrap w:val="0"/>
        <w:adjustRightInd w:val="0"/>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zh-CN"/>
        </w:rPr>
        <w:t>名称：</w:t>
      </w:r>
      <w:r>
        <w:rPr>
          <w:rFonts w:hint="eastAsia" w:ascii="仿宋" w:hAnsi="仿宋" w:eastAsia="仿宋" w:cs="仿宋"/>
          <w:color w:val="000000"/>
          <w:kern w:val="0"/>
          <w:sz w:val="28"/>
          <w:szCs w:val="28"/>
          <w:u w:val="single"/>
          <w:lang w:val="en-US" w:eastAsia="zh-CN"/>
        </w:rPr>
        <w:t>山西省太原固体废物处置中心(有限公司)</w:t>
      </w:r>
    </w:p>
    <w:p>
      <w:pPr>
        <w:widowControl/>
        <w:wordWrap w:val="0"/>
        <w:adjustRightInd w:val="0"/>
        <w:ind w:firstLine="560" w:firstLineChars="200"/>
        <w:jc w:val="left"/>
        <w:rPr>
          <w:rFonts w:hint="default" w:ascii="仿宋_GB2312" w:hAnsi="宋体" w:eastAsia="仿宋_GB2312" w:cs="仿宋_GB2312"/>
          <w:color w:val="000000"/>
          <w:kern w:val="0"/>
          <w:sz w:val="24"/>
          <w:szCs w:val="24"/>
          <w:lang w:val="en-US" w:eastAsia="zh-CN"/>
        </w:rPr>
      </w:pPr>
      <w:r>
        <w:rPr>
          <w:rFonts w:hint="eastAsia" w:ascii="仿宋" w:hAnsi="仿宋" w:eastAsia="仿宋" w:cs="仿宋"/>
          <w:color w:val="000000"/>
          <w:kern w:val="0"/>
          <w:sz w:val="28"/>
          <w:szCs w:val="28"/>
          <w:lang w:val="zh-CN"/>
        </w:rPr>
        <w:t>地址：</w:t>
      </w:r>
      <w:r>
        <w:rPr>
          <w:rFonts w:hint="eastAsia" w:ascii="仿宋" w:hAnsi="仿宋" w:eastAsia="仿宋" w:cs="仿宋"/>
          <w:color w:val="000000"/>
          <w:kern w:val="0"/>
          <w:sz w:val="28"/>
          <w:szCs w:val="28"/>
          <w:u w:val="single"/>
          <w:lang w:val="zh-CN"/>
        </w:rPr>
        <w:t>太原市</w:t>
      </w:r>
      <w:r>
        <w:rPr>
          <w:rFonts w:hint="eastAsia" w:ascii="仿宋" w:hAnsi="仿宋" w:eastAsia="仿宋" w:cs="仿宋"/>
          <w:color w:val="000000"/>
          <w:kern w:val="0"/>
          <w:sz w:val="28"/>
          <w:szCs w:val="28"/>
          <w:u w:val="single"/>
          <w:lang w:val="en-US" w:eastAsia="zh-CN"/>
        </w:rPr>
        <w:t>阳曲县杨兴乡鄯都村</w:t>
      </w:r>
    </w:p>
    <w:p>
      <w:pPr>
        <w:pStyle w:val="2"/>
        <w:numPr>
          <w:ilvl w:val="0"/>
          <w:numId w:val="0"/>
        </w:numPr>
        <w:ind w:firstLine="560" w:firstLineChars="200"/>
        <w:rPr>
          <w:rFonts w:hint="default"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三、公示期限</w:t>
      </w:r>
    </w:p>
    <w:p>
      <w:pPr>
        <w:widowControl/>
        <w:wordWrap w:val="0"/>
        <w:adjustRightInd w:val="0"/>
        <w:ind w:firstLine="560" w:firstLineChars="200"/>
        <w:jc w:val="left"/>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u w:val="single"/>
          <w:lang w:val="zh-CN"/>
        </w:rPr>
        <w:t>20</w:t>
      </w:r>
      <w:r>
        <w:rPr>
          <w:rFonts w:hint="eastAsia" w:ascii="仿宋" w:hAnsi="仿宋" w:eastAsia="仿宋" w:cs="仿宋"/>
          <w:color w:val="000000"/>
          <w:kern w:val="0"/>
          <w:sz w:val="28"/>
          <w:szCs w:val="28"/>
          <w:u w:val="single"/>
          <w:lang w:val="en-US" w:eastAsia="zh-CN"/>
        </w:rPr>
        <w:t>21</w:t>
      </w:r>
      <w:r>
        <w:rPr>
          <w:rFonts w:hint="eastAsia" w:ascii="仿宋" w:hAnsi="仿宋" w:eastAsia="仿宋" w:cs="仿宋"/>
          <w:color w:val="000000"/>
          <w:kern w:val="0"/>
          <w:sz w:val="28"/>
          <w:szCs w:val="28"/>
          <w:u w:val="single"/>
          <w:lang w:val="zh-CN"/>
        </w:rPr>
        <w:t>年</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lang w:val="zh-CN"/>
        </w:rPr>
        <w:t>月</w:t>
      </w:r>
      <w:r>
        <w:rPr>
          <w:rFonts w:hint="eastAsia" w:ascii="仿宋" w:hAnsi="仿宋" w:eastAsia="仿宋" w:cs="仿宋"/>
          <w:color w:val="000000"/>
          <w:kern w:val="0"/>
          <w:sz w:val="28"/>
          <w:szCs w:val="28"/>
          <w:u w:val="single"/>
          <w:lang w:val="en-US" w:eastAsia="zh-CN"/>
        </w:rPr>
        <w:t>18</w:t>
      </w:r>
      <w:r>
        <w:rPr>
          <w:rFonts w:hint="eastAsia" w:ascii="仿宋" w:hAnsi="仿宋" w:eastAsia="仿宋" w:cs="仿宋"/>
          <w:color w:val="000000"/>
          <w:kern w:val="0"/>
          <w:sz w:val="28"/>
          <w:szCs w:val="28"/>
          <w:u w:val="single"/>
          <w:lang w:val="zh-CN"/>
        </w:rPr>
        <w:t>日</w:t>
      </w:r>
      <w:r>
        <w:rPr>
          <w:rFonts w:hint="eastAsia" w:ascii="仿宋" w:hAnsi="仿宋" w:eastAsia="仿宋" w:cs="仿宋"/>
          <w:color w:val="000000"/>
          <w:kern w:val="0"/>
          <w:sz w:val="28"/>
          <w:szCs w:val="28"/>
          <w:lang w:val="zh-CN"/>
        </w:rPr>
        <w:t>至</w:t>
      </w:r>
      <w:r>
        <w:rPr>
          <w:rFonts w:hint="eastAsia" w:ascii="仿宋" w:hAnsi="仿宋" w:eastAsia="仿宋" w:cs="仿宋"/>
          <w:color w:val="000000"/>
          <w:kern w:val="0"/>
          <w:sz w:val="28"/>
          <w:szCs w:val="28"/>
          <w:u w:val="single"/>
          <w:lang w:val="zh-CN"/>
        </w:rPr>
        <w:t>20</w:t>
      </w:r>
      <w:r>
        <w:rPr>
          <w:rFonts w:hint="eastAsia" w:ascii="仿宋" w:hAnsi="仿宋" w:eastAsia="仿宋" w:cs="仿宋"/>
          <w:color w:val="000000"/>
          <w:kern w:val="0"/>
          <w:sz w:val="28"/>
          <w:szCs w:val="28"/>
          <w:u w:val="single"/>
          <w:lang w:val="en-US" w:eastAsia="zh-CN"/>
        </w:rPr>
        <w:t>21</w:t>
      </w:r>
      <w:r>
        <w:rPr>
          <w:rFonts w:hint="eastAsia" w:ascii="仿宋" w:hAnsi="仿宋" w:eastAsia="仿宋" w:cs="仿宋"/>
          <w:color w:val="000000"/>
          <w:kern w:val="0"/>
          <w:sz w:val="28"/>
          <w:szCs w:val="28"/>
          <w:u w:val="single"/>
          <w:lang w:val="zh-CN"/>
        </w:rPr>
        <w:t>年</w:t>
      </w:r>
      <w:r>
        <w:rPr>
          <w:rFonts w:hint="eastAsia" w:ascii="仿宋" w:hAnsi="仿宋" w:eastAsia="仿宋" w:cs="仿宋"/>
          <w:color w:val="000000"/>
          <w:kern w:val="0"/>
          <w:sz w:val="28"/>
          <w:szCs w:val="28"/>
          <w:u w:val="single"/>
          <w:lang w:val="en-US" w:eastAsia="zh-CN"/>
        </w:rPr>
        <w:t>5</w:t>
      </w:r>
      <w:r>
        <w:rPr>
          <w:rFonts w:hint="eastAsia" w:ascii="仿宋" w:hAnsi="仿宋" w:eastAsia="仿宋" w:cs="仿宋"/>
          <w:color w:val="000000"/>
          <w:kern w:val="0"/>
          <w:sz w:val="28"/>
          <w:szCs w:val="28"/>
          <w:u w:val="single"/>
          <w:lang w:val="zh-CN"/>
        </w:rPr>
        <w:t>月</w:t>
      </w:r>
      <w:r>
        <w:rPr>
          <w:rFonts w:hint="eastAsia" w:ascii="仿宋" w:hAnsi="仿宋" w:eastAsia="仿宋" w:cs="仿宋"/>
          <w:color w:val="000000"/>
          <w:kern w:val="0"/>
          <w:sz w:val="28"/>
          <w:szCs w:val="28"/>
          <w:u w:val="single"/>
          <w:lang w:val="en-US" w:eastAsia="zh-CN"/>
        </w:rPr>
        <w:t>24</w:t>
      </w:r>
      <w:r>
        <w:rPr>
          <w:rFonts w:hint="eastAsia" w:ascii="仿宋" w:hAnsi="仿宋" w:eastAsia="仿宋" w:cs="仿宋"/>
          <w:color w:val="000000"/>
          <w:kern w:val="0"/>
          <w:sz w:val="28"/>
          <w:szCs w:val="28"/>
          <w:u w:val="single"/>
          <w:lang w:val="zh-CN"/>
        </w:rPr>
        <w:t>日（</w:t>
      </w:r>
      <w:r>
        <w:rPr>
          <w:rFonts w:hint="eastAsia" w:ascii="仿宋" w:hAnsi="仿宋" w:eastAsia="仿宋" w:cs="仿宋"/>
          <w:color w:val="000000"/>
          <w:kern w:val="0"/>
          <w:sz w:val="28"/>
          <w:szCs w:val="28"/>
          <w:u w:val="single"/>
          <w:lang w:val="en-US" w:eastAsia="zh-CN"/>
        </w:rPr>
        <w:t>公示期限不得少于</w:t>
      </w:r>
      <w:r>
        <w:rPr>
          <w:rFonts w:hint="eastAsia" w:ascii="仿宋" w:hAnsi="仿宋" w:eastAsia="仿宋" w:cs="仿宋"/>
          <w:color w:val="000000"/>
          <w:kern w:val="0"/>
          <w:sz w:val="28"/>
          <w:szCs w:val="28"/>
          <w:u w:val="single"/>
          <w:lang w:val="zh-CN"/>
        </w:rPr>
        <w:t>五个工作日）</w:t>
      </w:r>
    </w:p>
    <w:p>
      <w:pPr>
        <w:pStyle w:val="2"/>
        <w:numPr>
          <w:ilvl w:val="0"/>
          <w:numId w:val="0"/>
        </w:numPr>
        <w:ind w:firstLine="560" w:firstLineChars="200"/>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四、其他补充事宜：</w:t>
      </w:r>
    </w:p>
    <w:p>
      <w:pPr>
        <w:rPr>
          <w:rFonts w:hint="default"/>
          <w:lang w:val="en-US" w:eastAsia="zh-CN"/>
        </w:rPr>
      </w:pPr>
      <w:r>
        <w:rPr>
          <w:rFonts w:hint="eastAsia"/>
          <w:lang w:val="en-US" w:eastAsia="zh-CN"/>
        </w:rPr>
        <w:t xml:space="preserve">      </w:t>
      </w:r>
      <w:r>
        <w:rPr>
          <w:rFonts w:hint="eastAsia" w:ascii="仿宋" w:hAnsi="仿宋" w:eastAsia="仿宋" w:cs="仿宋"/>
          <w:sz w:val="28"/>
          <w:szCs w:val="28"/>
          <w:lang w:val="en-US" w:eastAsia="zh-CN"/>
        </w:rPr>
        <w:t>无</w:t>
      </w:r>
      <w:bookmarkStart w:id="0" w:name="_GoBack"/>
      <w:bookmarkEnd w:id="0"/>
    </w:p>
    <w:p>
      <w:pPr>
        <w:pStyle w:val="2"/>
        <w:numPr>
          <w:ilvl w:val="0"/>
          <w:numId w:val="0"/>
        </w:numPr>
        <w:ind w:firstLine="560" w:firstLineChars="200"/>
        <w:rPr>
          <w:rFonts w:hint="default" w:ascii="仿宋" w:hAnsi="仿宋" w:eastAsia="仿宋" w:cs="仿宋"/>
          <w:b/>
          <w:sz w:val="24"/>
          <w:szCs w:val="24"/>
          <w:lang w:val="en-US" w:eastAsia="zh-CN"/>
        </w:rPr>
      </w:pPr>
      <w:r>
        <w:rPr>
          <w:rFonts w:hint="eastAsia" w:ascii="黑体" w:hAnsi="黑体" w:eastAsia="黑体" w:cs="Times New Roman"/>
          <w:kern w:val="2"/>
          <w:sz w:val="28"/>
          <w:szCs w:val="28"/>
          <w:lang w:val="en-US" w:eastAsia="zh-CN" w:bidi="ar-SA"/>
        </w:rPr>
        <w:t>五、联系方式</w:t>
      </w:r>
    </w:p>
    <w:p>
      <w:pPr>
        <w:widowControl/>
        <w:wordWrap w:val="0"/>
        <w:adjustRightInd w:val="0"/>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zh-CN"/>
        </w:rPr>
        <w:t>联</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系</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人：</w:t>
      </w:r>
      <w:r>
        <w:rPr>
          <w:rFonts w:hint="eastAsia" w:ascii="仿宋" w:hAnsi="仿宋" w:eastAsia="仿宋" w:cs="仿宋"/>
          <w:b w:val="0"/>
          <w:bCs w:val="0"/>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lang w:val="en-US" w:eastAsia="zh-CN"/>
        </w:rPr>
        <w:t xml:space="preserve">范卓华                   </w:t>
      </w:r>
      <w:r>
        <w:rPr>
          <w:rFonts w:hint="eastAsia" w:ascii="仿宋" w:hAnsi="仿宋" w:eastAsia="仿宋" w:cs="仿宋"/>
          <w:color w:val="000000"/>
          <w:kern w:val="0"/>
          <w:sz w:val="28"/>
          <w:szCs w:val="28"/>
          <w:lang w:val="zh-CN"/>
        </w:rPr>
        <w:t xml:space="preserve">             </w:t>
      </w:r>
    </w:p>
    <w:p>
      <w:pPr>
        <w:widowControl/>
        <w:wordWrap w:val="0"/>
        <w:adjustRightInd w:val="0"/>
        <w:ind w:firstLine="560" w:firstLineChars="200"/>
        <w:jc w:val="left"/>
        <w:rPr>
          <w:rFonts w:hint="default" w:ascii="仿宋" w:hAnsi="仿宋" w:eastAsia="仿宋" w:cs="仿宋"/>
          <w:color w:val="000000"/>
          <w:kern w:val="0"/>
          <w:sz w:val="28"/>
          <w:szCs w:val="28"/>
          <w:u w:val="single"/>
          <w:lang w:val="en-US" w:eastAsia="zh-CN"/>
        </w:rPr>
      </w:pPr>
      <w:r>
        <w:rPr>
          <w:rFonts w:hint="eastAsia" w:ascii="仿宋" w:hAnsi="仿宋" w:eastAsia="仿宋" w:cs="仿宋"/>
          <w:color w:val="000000"/>
          <w:kern w:val="0"/>
          <w:sz w:val="28"/>
          <w:szCs w:val="28"/>
          <w:lang w:val="en-US" w:eastAsia="zh-CN"/>
        </w:rPr>
        <w:t>联系</w:t>
      </w:r>
      <w:r>
        <w:rPr>
          <w:rFonts w:hint="eastAsia" w:ascii="仿宋" w:hAnsi="仿宋" w:eastAsia="仿宋" w:cs="仿宋"/>
          <w:color w:val="000000"/>
          <w:kern w:val="0"/>
          <w:sz w:val="28"/>
          <w:szCs w:val="28"/>
          <w:lang w:val="zh-CN"/>
        </w:rPr>
        <w:t>地址:</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lang w:val="zh-CN"/>
        </w:rPr>
        <w:t>山西省太原市坞城路92号</w:t>
      </w:r>
      <w:r>
        <w:rPr>
          <w:rFonts w:hint="eastAsia" w:ascii="仿宋" w:hAnsi="仿宋" w:eastAsia="仿宋" w:cs="仿宋"/>
          <w:color w:val="000000"/>
          <w:kern w:val="0"/>
          <w:sz w:val="28"/>
          <w:szCs w:val="28"/>
          <w:u w:val="single"/>
          <w:lang w:val="en-US" w:eastAsia="zh-CN"/>
        </w:rPr>
        <w:t xml:space="preserve">   </w:t>
      </w:r>
    </w:p>
    <w:p>
      <w:pPr>
        <w:pStyle w:val="2"/>
        <w:ind w:left="0" w:leftChars="0" w:firstLine="560" w:firstLineChars="200"/>
        <w:rPr>
          <w:rFonts w:hint="default" w:ascii="仿宋" w:hAnsi="仿宋" w:eastAsia="仿宋" w:cs="仿宋"/>
          <w:sz w:val="28"/>
          <w:szCs w:val="28"/>
          <w:lang w:val="en-US" w:eastAsia="zh-CN"/>
        </w:rPr>
      </w:pPr>
      <w:r>
        <w:rPr>
          <w:rFonts w:hint="eastAsia" w:ascii="仿宋" w:hAnsi="仿宋" w:eastAsia="仿宋" w:cs="仿宋"/>
          <w:color w:val="000000"/>
          <w:kern w:val="0"/>
          <w:sz w:val="28"/>
          <w:szCs w:val="28"/>
          <w:lang w:val="zh-CN"/>
        </w:rPr>
        <w:t>联系电话：</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lang w:val="zh-CN"/>
        </w:rPr>
        <w:t>0351-7011255</w:t>
      </w:r>
      <w:r>
        <w:rPr>
          <w:rFonts w:hint="eastAsia" w:ascii="仿宋" w:hAnsi="仿宋" w:eastAsia="仿宋" w:cs="仿宋"/>
          <w:color w:val="000000"/>
          <w:kern w:val="0"/>
          <w:sz w:val="28"/>
          <w:szCs w:val="28"/>
          <w:u w:val="single"/>
          <w:lang w:val="en-US" w:eastAsia="zh-CN"/>
        </w:rPr>
        <w:t xml:space="preserve">             </w:t>
      </w:r>
    </w:p>
    <w:p>
      <w:pPr>
        <w:pStyle w:val="2"/>
        <w:numPr>
          <w:ilvl w:val="0"/>
          <w:numId w:val="0"/>
        </w:numPr>
        <w:ind w:firstLine="560" w:firstLineChars="200"/>
        <w:rPr>
          <w:rFonts w:hint="default"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六、附件</w:t>
      </w:r>
    </w:p>
    <w:p>
      <w:pPr>
        <w:ind w:right="792" w:rightChars="377"/>
        <w:jc w:val="left"/>
        <w:rPr>
          <w:rFonts w:hint="default" w:eastAsia="宋体"/>
          <w:lang w:val="en-US" w:eastAsia="zh-CN"/>
        </w:rPr>
      </w:pPr>
      <w:r>
        <w:rPr>
          <w:rFonts w:hint="eastAsia"/>
          <w:lang w:val="en-US" w:eastAsia="zh-CN"/>
        </w:rPr>
        <w:t xml:space="preserve">     </w:t>
      </w:r>
      <w:r>
        <w:rPr>
          <w:rFonts w:hint="eastAsia" w:ascii="仿宋" w:hAnsi="仿宋" w:eastAsia="仿宋" w:cs="仿宋"/>
          <w:color w:val="000000"/>
          <w:kern w:val="0"/>
          <w:sz w:val="28"/>
          <w:szCs w:val="28"/>
          <w:lang w:val="en-US" w:eastAsia="zh-CN"/>
        </w:rPr>
        <w:t>专业人员论证意见</w:t>
      </w:r>
    </w:p>
    <w:p>
      <w:pPr>
        <w:rPr>
          <w:rFonts w:hint="eastAsia"/>
        </w:rPr>
      </w:pPr>
    </w:p>
    <w:p>
      <w:pPr>
        <w:rPr>
          <w:rFonts w:hint="eastAsia"/>
        </w:rPr>
      </w:pPr>
    </w:p>
    <w:p>
      <w:pPr>
        <w:widowControl/>
        <w:adjustRightInd w:val="0"/>
        <w:spacing w:line="600" w:lineRule="exact"/>
        <w:jc w:val="left"/>
        <w:rPr>
          <w:rFonts w:hint="eastAsia" w:ascii="宋体" w:hAnsi="宋体" w:cs="仿宋_GB2312"/>
          <w:color w:val="000000"/>
          <w:kern w:val="0"/>
          <w:sz w:val="28"/>
          <w:szCs w:val="28"/>
          <w:lang w:val="zh-CN"/>
        </w:rPr>
      </w:pPr>
      <w:r>
        <w:rPr>
          <w:rFonts w:hint="eastAsia" w:ascii="宋体" w:hAnsi="宋体" w:cs="仿宋_GB2312"/>
          <w:color w:val="000000"/>
          <w:kern w:val="0"/>
          <w:sz w:val="28"/>
          <w:szCs w:val="28"/>
          <w:lang w:val="zh-CN"/>
        </w:rPr>
        <w:t xml:space="preserve">     </w:t>
      </w:r>
    </w:p>
    <w:p>
      <w:pPr>
        <w:pStyle w:val="2"/>
        <w:ind w:left="0" w:leftChars="0" w:firstLine="0" w:firstLineChars="0"/>
        <w:jc w:val="left"/>
        <w:rPr>
          <w:rFonts w:hint="eastAsia" w:eastAsia="宋体"/>
          <w:lang w:eastAsia="zh-CN"/>
        </w:rPr>
      </w:pPr>
      <w:r>
        <w:rPr>
          <w:rFonts w:hint="eastAsia" w:eastAsia="宋体"/>
          <w:lang w:eastAsia="zh-CN"/>
        </w:rPr>
        <w:drawing>
          <wp:inline distT="0" distB="0" distL="114300" distR="114300">
            <wp:extent cx="5248275" cy="8834755"/>
            <wp:effectExtent l="0" t="0" r="9525" b="4445"/>
            <wp:docPr id="4" name="图片 4" descr="专家论证意见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专家论证意见表"/>
                    <pic:cNvPicPr>
                      <a:picLocks noChangeAspect="1"/>
                    </pic:cNvPicPr>
                  </pic:nvPicPr>
                  <pic:blipFill>
                    <a:blip r:embed="rId4"/>
                    <a:stretch>
                      <a:fillRect/>
                    </a:stretch>
                  </pic:blipFill>
                  <pic:spPr>
                    <a:xfrm>
                      <a:off x="0" y="0"/>
                      <a:ext cx="5248275" cy="8834755"/>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5242560" cy="8824595"/>
            <wp:effectExtent l="0" t="0" r="15240" b="14605"/>
            <wp:docPr id="5" name="图片 5" descr="专家论证意见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专家论证意见表2"/>
                    <pic:cNvPicPr>
                      <a:picLocks noChangeAspect="1"/>
                    </pic:cNvPicPr>
                  </pic:nvPicPr>
                  <pic:blipFill>
                    <a:blip r:embed="rId5"/>
                    <a:stretch>
                      <a:fillRect/>
                    </a:stretch>
                  </pic:blipFill>
                  <pic:spPr>
                    <a:xfrm>
                      <a:off x="0" y="0"/>
                      <a:ext cx="5242560" cy="8824595"/>
                    </a:xfrm>
                    <a:prstGeom prst="rect">
                      <a:avLst/>
                    </a:prstGeom>
                  </pic:spPr>
                </pic:pic>
              </a:graphicData>
            </a:graphic>
          </wp:inline>
        </w:drawing>
      </w: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5242560" cy="8841105"/>
            <wp:effectExtent l="0" t="0" r="15240" b="17145"/>
            <wp:docPr id="6" name="图片 6" descr="专家论证意见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专家论证意见表3"/>
                    <pic:cNvPicPr>
                      <a:picLocks noChangeAspect="1"/>
                    </pic:cNvPicPr>
                  </pic:nvPicPr>
                  <pic:blipFill>
                    <a:blip r:embed="rId6"/>
                    <a:stretch>
                      <a:fillRect/>
                    </a:stretch>
                  </pic:blipFill>
                  <pic:spPr>
                    <a:xfrm>
                      <a:off x="0" y="0"/>
                      <a:ext cx="5242560" cy="884110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474"/>
    <w:rsid w:val="000C7562"/>
    <w:rsid w:val="000C7FD0"/>
    <w:rsid w:val="000F272B"/>
    <w:rsid w:val="00101D67"/>
    <w:rsid w:val="001248C3"/>
    <w:rsid w:val="00177788"/>
    <w:rsid w:val="001C34B7"/>
    <w:rsid w:val="0022478D"/>
    <w:rsid w:val="002B5A33"/>
    <w:rsid w:val="002D3B37"/>
    <w:rsid w:val="002E0564"/>
    <w:rsid w:val="00300ACE"/>
    <w:rsid w:val="0034548E"/>
    <w:rsid w:val="00366D40"/>
    <w:rsid w:val="003C22FC"/>
    <w:rsid w:val="00401709"/>
    <w:rsid w:val="00420668"/>
    <w:rsid w:val="00424D1F"/>
    <w:rsid w:val="00431A12"/>
    <w:rsid w:val="00445B8A"/>
    <w:rsid w:val="00460B23"/>
    <w:rsid w:val="004A189B"/>
    <w:rsid w:val="004C3EE0"/>
    <w:rsid w:val="004D377D"/>
    <w:rsid w:val="004F0BD7"/>
    <w:rsid w:val="005603F9"/>
    <w:rsid w:val="0056106B"/>
    <w:rsid w:val="00563996"/>
    <w:rsid w:val="00577FEF"/>
    <w:rsid w:val="00593ABB"/>
    <w:rsid w:val="005C60E9"/>
    <w:rsid w:val="005D3162"/>
    <w:rsid w:val="005E3C86"/>
    <w:rsid w:val="005F49BC"/>
    <w:rsid w:val="006045B0"/>
    <w:rsid w:val="00607A31"/>
    <w:rsid w:val="0062038F"/>
    <w:rsid w:val="006237E5"/>
    <w:rsid w:val="00630481"/>
    <w:rsid w:val="00650577"/>
    <w:rsid w:val="00654E0F"/>
    <w:rsid w:val="006907DE"/>
    <w:rsid w:val="006A0F53"/>
    <w:rsid w:val="006A0F58"/>
    <w:rsid w:val="006D6B0B"/>
    <w:rsid w:val="007114BB"/>
    <w:rsid w:val="007164F6"/>
    <w:rsid w:val="00761EBF"/>
    <w:rsid w:val="00775602"/>
    <w:rsid w:val="007836F5"/>
    <w:rsid w:val="007A59BD"/>
    <w:rsid w:val="007C7765"/>
    <w:rsid w:val="007E7F9E"/>
    <w:rsid w:val="007F6DBD"/>
    <w:rsid w:val="00801251"/>
    <w:rsid w:val="0080594A"/>
    <w:rsid w:val="00806F42"/>
    <w:rsid w:val="0083574D"/>
    <w:rsid w:val="00837A3F"/>
    <w:rsid w:val="008C2E2A"/>
    <w:rsid w:val="008E5065"/>
    <w:rsid w:val="00915A9E"/>
    <w:rsid w:val="0091758A"/>
    <w:rsid w:val="0092639B"/>
    <w:rsid w:val="00952FA4"/>
    <w:rsid w:val="009D3516"/>
    <w:rsid w:val="00A25A27"/>
    <w:rsid w:val="00A4083D"/>
    <w:rsid w:val="00A55657"/>
    <w:rsid w:val="00A849E6"/>
    <w:rsid w:val="00AB04D4"/>
    <w:rsid w:val="00AC5AF6"/>
    <w:rsid w:val="00AC7448"/>
    <w:rsid w:val="00B110C6"/>
    <w:rsid w:val="00B37D18"/>
    <w:rsid w:val="00B45010"/>
    <w:rsid w:val="00B65163"/>
    <w:rsid w:val="00BD1E32"/>
    <w:rsid w:val="00C1246C"/>
    <w:rsid w:val="00C31804"/>
    <w:rsid w:val="00C735DB"/>
    <w:rsid w:val="00C76730"/>
    <w:rsid w:val="00CC3037"/>
    <w:rsid w:val="00D07477"/>
    <w:rsid w:val="00D11E20"/>
    <w:rsid w:val="00D175FE"/>
    <w:rsid w:val="00D469B7"/>
    <w:rsid w:val="00D51700"/>
    <w:rsid w:val="00D62106"/>
    <w:rsid w:val="00D6404C"/>
    <w:rsid w:val="00D6488B"/>
    <w:rsid w:val="00DB10FC"/>
    <w:rsid w:val="00DB65C9"/>
    <w:rsid w:val="00DE3916"/>
    <w:rsid w:val="00DE649B"/>
    <w:rsid w:val="00DE7F6C"/>
    <w:rsid w:val="00E1630D"/>
    <w:rsid w:val="00E21979"/>
    <w:rsid w:val="00E259D7"/>
    <w:rsid w:val="00E30B40"/>
    <w:rsid w:val="00E429BA"/>
    <w:rsid w:val="00E877FC"/>
    <w:rsid w:val="00EE69B4"/>
    <w:rsid w:val="00EF018C"/>
    <w:rsid w:val="00EF5AC9"/>
    <w:rsid w:val="00F00053"/>
    <w:rsid w:val="00F01132"/>
    <w:rsid w:val="00F46EC8"/>
    <w:rsid w:val="00F554FC"/>
    <w:rsid w:val="00F73460"/>
    <w:rsid w:val="00F811C3"/>
    <w:rsid w:val="00FE02CB"/>
    <w:rsid w:val="00FE2AD4"/>
    <w:rsid w:val="030B4299"/>
    <w:rsid w:val="06976543"/>
    <w:rsid w:val="06E927B4"/>
    <w:rsid w:val="0AA121BD"/>
    <w:rsid w:val="0ED572A4"/>
    <w:rsid w:val="1D6E367D"/>
    <w:rsid w:val="24036FA7"/>
    <w:rsid w:val="29284200"/>
    <w:rsid w:val="2DDF28DD"/>
    <w:rsid w:val="2F932EA9"/>
    <w:rsid w:val="33466E7D"/>
    <w:rsid w:val="35DF1416"/>
    <w:rsid w:val="371A42ED"/>
    <w:rsid w:val="3C750F40"/>
    <w:rsid w:val="3D6F4485"/>
    <w:rsid w:val="3E027FCA"/>
    <w:rsid w:val="411A5DDE"/>
    <w:rsid w:val="48033810"/>
    <w:rsid w:val="504E7C62"/>
    <w:rsid w:val="536E40D2"/>
    <w:rsid w:val="54B62B99"/>
    <w:rsid w:val="55DD69FD"/>
    <w:rsid w:val="5C550E60"/>
    <w:rsid w:val="5DF61DA6"/>
    <w:rsid w:val="63C71015"/>
    <w:rsid w:val="64640846"/>
    <w:rsid w:val="647C1D2D"/>
    <w:rsid w:val="662373D5"/>
    <w:rsid w:val="6B33380D"/>
    <w:rsid w:val="73006F32"/>
    <w:rsid w:val="733F1E11"/>
    <w:rsid w:val="75862BC8"/>
    <w:rsid w:val="77F44CDE"/>
    <w:rsid w:val="7BA94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able of authorities"/>
    <w:next w:val="1"/>
    <w:unhideWhenUsed/>
    <w:qFormat/>
    <w:uiPriority w:val="99"/>
    <w:pPr>
      <w:widowControl w:val="0"/>
      <w:ind w:left="420"/>
      <w:jc w:val="both"/>
    </w:pPr>
    <w:rPr>
      <w:rFonts w:ascii="Calibri" w:hAnsi="Calibri" w:eastAsia="宋体" w:cs="Times New Roman"/>
      <w:kern w:val="2"/>
      <w:sz w:val="21"/>
      <w:szCs w:val="22"/>
      <w:lang w:val="en-US" w:eastAsia="zh-CN" w:bidi="ar-SA"/>
    </w:rPr>
  </w:style>
  <w:style w:type="paragraph" w:styleId="4">
    <w:name w:val="Plain Text"/>
    <w:basedOn w:val="1"/>
    <w:qFormat/>
    <w:uiPriority w:val="0"/>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400</Words>
  <Characters>2282</Characters>
  <Lines>19</Lines>
  <Paragraphs>5</Paragraphs>
  <TotalTime>12</TotalTime>
  <ScaleCrop>false</ScaleCrop>
  <LinksUpToDate>false</LinksUpToDate>
  <CharactersWithSpaces>2677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2017-11-09T01:03:00Z</dcterms:created>
  <dc:creator>赵法刚</dc:creator>
  <cp:lastModifiedBy>W光泰</cp:lastModifiedBy>
  <cp:lastPrinted>2021-03-30T10:04:00Z</cp:lastPrinted>
  <dcterms:modified xsi:type="dcterms:W3CDTF">2021-05-17T07:35:21Z</dcterms:modified>
  <dc:title>单一来源专家论证意见表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B48EA0E9CAAE48CAAEB449CB862D60DC</vt:lpwstr>
  </property>
</Properties>
</file>