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42"/>
      <w:bookmarkStart w:id="1" w:name="_Toc35393832"/>
      <w:r>
        <w:rPr>
          <w:rFonts w:hint="eastAsia" w:ascii="华文中宋" w:hAnsi="华文中宋" w:eastAsia="华文中宋"/>
        </w:rPr>
        <w:t>山西大学检验试剂一批（</w:t>
      </w:r>
      <w:r>
        <w:rPr>
          <w:rFonts w:hint="eastAsia" w:ascii="华文中宋" w:hAnsi="华文中宋" w:eastAsia="华文中宋"/>
          <w:lang w:val="en-US" w:eastAsia="zh-CN"/>
        </w:rPr>
        <w:t>尿素【14C】呼气试验药盒</w:t>
      </w:r>
      <w:r>
        <w:rPr>
          <w:rFonts w:hint="eastAsia" w:ascii="华文中宋" w:hAnsi="华文中宋" w:eastAsia="华文中宋"/>
        </w:rPr>
        <w:t>）（SDDY-2100</w:t>
      </w:r>
      <w:r>
        <w:rPr>
          <w:rFonts w:hint="eastAsia" w:ascii="华文中宋" w:hAnsi="华文中宋" w:eastAsia="华文中宋"/>
          <w:lang w:val="en-US" w:eastAsia="zh-CN"/>
        </w:rPr>
        <w:t>5</w:t>
      </w:r>
      <w:r>
        <w:rPr>
          <w:rFonts w:hint="eastAsia" w:ascii="华文中宋" w:hAnsi="华文中宋" w:eastAsia="华文中宋"/>
        </w:rPr>
        <w:t>）</w:t>
      </w:r>
      <w:r>
        <w:rPr>
          <w:rFonts w:hint="eastAsia" w:ascii="华文中宋" w:hAnsi="华文中宋" w:eastAsia="华文中宋"/>
          <w:lang w:val="en-US" w:eastAsia="zh-CN"/>
        </w:rPr>
        <w:t xml:space="preserve">            </w:t>
      </w:r>
      <w:r>
        <w:rPr>
          <w:rFonts w:hint="eastAsia" w:ascii="华文中宋" w:hAnsi="华文中宋" w:eastAsia="华文中宋"/>
        </w:rPr>
        <w:t>单一来源征求意见公示</w:t>
      </w:r>
      <w:bookmarkEnd w:id="0"/>
      <w:bookmarkEnd w:id="1"/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一、项目信息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采购人：</w:t>
      </w:r>
      <w:r>
        <w:rPr>
          <w:rFonts w:hint="eastAsia" w:ascii="仿宋" w:hAnsi="仿宋" w:eastAsia="仿宋"/>
          <w:sz w:val="28"/>
          <w:szCs w:val="28"/>
          <w:u w:val="single"/>
        </w:rPr>
        <w:t>山西大学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</w:rPr>
        <w:t>山西大学检验试剂一批</w:t>
      </w:r>
    </w:p>
    <w:p>
      <w:pPr>
        <w:ind w:firstLine="560" w:firstLineChars="200"/>
        <w:rPr>
          <w:rFonts w:hint="eastAsia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>拟采购的货物或服务的说明：山西大学医院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目前使用的设备幽门螺杆菌测试仪（HUBT-01P），</w:t>
      </w:r>
      <w:r>
        <w:rPr>
          <w:rFonts w:hint="eastAsia" w:ascii="仿宋" w:hAnsi="仿宋" w:eastAsia="仿宋"/>
          <w:sz w:val="28"/>
          <w:szCs w:val="28"/>
        </w:rPr>
        <w:t>采用行业领先的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电脉冲</w:t>
      </w:r>
      <w:r>
        <w:rPr>
          <w:rFonts w:hint="eastAsia" w:ascii="仿宋" w:hAnsi="仿宋" w:eastAsia="仿宋"/>
          <w:sz w:val="28"/>
          <w:szCs w:val="28"/>
        </w:rPr>
        <w:t>技术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检测性能优越</w:t>
      </w:r>
      <w:r>
        <w:rPr>
          <w:rFonts w:hint="eastAsia" w:ascii="仿宋" w:hAnsi="仿宋" w:eastAsia="仿宋"/>
          <w:sz w:val="28"/>
          <w:szCs w:val="28"/>
          <w:lang w:eastAsia="zh-CN"/>
        </w:rPr>
        <w:t>；此次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拟采购的配套试剂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尿素【14C】呼气试验药盒是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唯一能适配该设备的试剂。</w:t>
      </w:r>
      <w:r>
        <w:rPr>
          <w:rFonts w:hint="eastAsia" w:ascii="仿宋" w:hAnsi="仿宋" w:eastAsia="仿宋"/>
          <w:sz w:val="28"/>
          <w:szCs w:val="28"/>
        </w:rPr>
        <w:t>由于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检测项目</w:t>
      </w:r>
      <w:r>
        <w:rPr>
          <w:rFonts w:hint="eastAsia" w:ascii="仿宋" w:hAnsi="仿宋" w:eastAsia="仿宋"/>
          <w:sz w:val="28"/>
          <w:szCs w:val="28"/>
        </w:rPr>
        <w:t>的特殊性，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试剂尿素【14C】呼气试验药盒的成分中具有微量的</w:t>
      </w:r>
      <w:r>
        <w:rPr>
          <w:rFonts w:hint="eastAsia" w:ascii="仿宋" w:hAnsi="仿宋" w:eastAsia="仿宋"/>
          <w:sz w:val="28"/>
          <w:szCs w:val="28"/>
          <w:vertAlign w:val="superscript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C核元素，截止目前国内能够自主独立生产该试剂的厂商仅深</w:t>
      </w:r>
      <w:r>
        <w:rPr>
          <w:rFonts w:hint="eastAsia" w:ascii="华文仿宋" w:hAnsi="华文仿宋" w:eastAsia="华文仿宋" w:cs="华文仿宋"/>
          <w:sz w:val="28"/>
          <w:szCs w:val="28"/>
        </w:rPr>
        <w:t>圳市中核海得威生物科技有限公司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，国内再无第二家生产同类试剂的厂家，</w:t>
      </w:r>
      <w:r>
        <w:rPr>
          <w:rFonts w:hint="eastAsia" w:ascii="华文仿宋" w:hAnsi="华文仿宋" w:eastAsia="华文仿宋" w:cs="华文仿宋"/>
          <w:sz w:val="28"/>
          <w:szCs w:val="28"/>
        </w:rPr>
        <w:t xml:space="preserve"> 深圳市中核海得威生物科技有限公司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也</w:t>
      </w:r>
      <w:r>
        <w:rPr>
          <w:rFonts w:hint="eastAsia" w:ascii="华文仿宋" w:hAnsi="华文仿宋" w:eastAsia="华文仿宋" w:cs="华文仿宋"/>
          <w:sz w:val="28"/>
          <w:szCs w:val="28"/>
        </w:rPr>
        <w:t>是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试剂</w:t>
      </w:r>
      <w:r>
        <w:rPr>
          <w:rFonts w:hint="eastAsia" w:ascii="华文仿宋" w:hAnsi="华文仿宋" w:eastAsia="华文仿宋" w:cs="华文仿宋"/>
          <w:sz w:val="28"/>
          <w:szCs w:val="28"/>
        </w:rPr>
        <w:t>唯一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的</w:t>
      </w:r>
      <w:r>
        <w:rPr>
          <w:rFonts w:hint="eastAsia" w:ascii="华文仿宋" w:hAnsi="华文仿宋" w:eastAsia="华文仿宋" w:cs="华文仿宋"/>
          <w:sz w:val="28"/>
          <w:szCs w:val="28"/>
        </w:rPr>
        <w:t>经销商。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特申请此项目采用单一来源方式采购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拟采购的货物或服务的预算金额：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240000</w:t>
      </w:r>
      <w:r>
        <w:rPr>
          <w:rFonts w:hint="eastAsia" w:ascii="仿宋" w:hAnsi="仿宋" w:eastAsia="仿宋"/>
          <w:sz w:val="28"/>
          <w:szCs w:val="28"/>
          <w:u w:val="single"/>
        </w:rPr>
        <w:t>元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采用单一来源采购方式的原因及说明：目前，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深圳市中核海得威生物科技</w:t>
      </w:r>
      <w:r>
        <w:rPr>
          <w:rFonts w:hint="eastAsia" w:ascii="仿宋" w:hAnsi="仿宋" w:eastAsia="仿宋"/>
          <w:sz w:val="28"/>
          <w:szCs w:val="28"/>
        </w:rPr>
        <w:t>有限公司是</w:t>
      </w:r>
      <w:r>
        <w:rPr>
          <w:rFonts w:hint="eastAsia" w:ascii="仿宋" w:hAnsi="仿宋" w:eastAsia="仿宋"/>
          <w:sz w:val="28"/>
          <w:szCs w:val="28"/>
          <w:lang w:eastAsia="zh-CN"/>
        </w:rPr>
        <w:t>拟采购检验试剂一批国内唯一的生产、经销厂家，所提供的</w:t>
      </w:r>
      <w:r>
        <w:rPr>
          <w:rFonts w:hint="eastAsia" w:ascii="仿宋" w:hAnsi="仿宋" w:eastAsia="仿宋"/>
          <w:sz w:val="28"/>
          <w:szCs w:val="28"/>
        </w:rPr>
        <w:t>试剂</w:t>
      </w:r>
      <w:r>
        <w:rPr>
          <w:rFonts w:hint="eastAsia" w:ascii="仿宋" w:hAnsi="仿宋" w:eastAsia="仿宋"/>
          <w:sz w:val="28"/>
          <w:szCs w:val="28"/>
          <w:lang w:eastAsia="zh-CN"/>
        </w:rPr>
        <w:t>也是适配校医院在用设备，保证设备正常运转</w:t>
      </w:r>
      <w:r>
        <w:rPr>
          <w:rFonts w:hint="eastAsia" w:ascii="仿宋" w:hAnsi="仿宋" w:eastAsia="仿宋"/>
          <w:sz w:val="28"/>
          <w:szCs w:val="28"/>
        </w:rPr>
        <w:t>的唯一</w:t>
      </w:r>
      <w:r>
        <w:rPr>
          <w:rFonts w:hint="eastAsia" w:ascii="仿宋" w:hAnsi="仿宋" w:eastAsia="仿宋"/>
          <w:sz w:val="28"/>
          <w:szCs w:val="28"/>
          <w:lang w:eastAsia="zh-CN"/>
        </w:rPr>
        <w:t>试剂产品</w:t>
      </w:r>
      <w:r>
        <w:rPr>
          <w:rFonts w:hint="eastAsia" w:ascii="仿宋" w:hAnsi="仿宋" w:eastAsia="仿宋"/>
          <w:sz w:val="28"/>
          <w:szCs w:val="28"/>
        </w:rPr>
        <w:t>。因此，申请此项目以单一来源方式采购。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二、拟定供应商信息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深圳市中核海得威生物科技有限公司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深圳市南山区桃源街道平山大园工业区南区R1-B栋6楼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三、公示期限</w:t>
      </w:r>
    </w:p>
    <w:p>
      <w:pPr>
        <w:pStyle w:val="11"/>
        <w:ind w:left="-10" w:leftChars="-5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2</w:t>
      </w:r>
      <w:r>
        <w:rPr>
          <w:rFonts w:ascii="仿宋" w:hAnsi="仿宋" w:eastAsia="仿宋"/>
          <w:sz w:val="28"/>
          <w:szCs w:val="28"/>
          <w:u w:val="single"/>
        </w:rPr>
        <w:t>021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  <w:u w:val="single"/>
        </w:rPr>
        <w:t>2021年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/>
          <w:sz w:val="28"/>
          <w:szCs w:val="28"/>
          <w:u w:val="single"/>
        </w:rPr>
        <w:t>公示期限不得少于5个工作日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）</w:t>
      </w:r>
      <w:bookmarkStart w:id="2" w:name="_GoBack"/>
      <w:bookmarkEnd w:id="2"/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ascii="黑体" w:hAnsi="黑体" w:eastAsia="黑体"/>
          <w:sz w:val="28"/>
          <w:szCs w:val="28"/>
        </w:rPr>
        <w:t>其他</w:t>
      </w:r>
      <w:r>
        <w:rPr>
          <w:rFonts w:hint="eastAsia" w:ascii="黑体" w:hAnsi="黑体" w:eastAsia="黑体"/>
          <w:sz w:val="28"/>
          <w:szCs w:val="28"/>
        </w:rPr>
        <w:t>补充事宜：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五、联系方式</w:t>
      </w:r>
    </w:p>
    <w:p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1.采购人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zh-CN"/>
        </w:rPr>
        <w:t>范卓华</w:t>
      </w:r>
      <w:r>
        <w:rPr>
          <w:rFonts w:hint="eastAsia" w:ascii="仿宋" w:hAnsi="仿宋" w:eastAsia="仿宋"/>
          <w:sz w:val="28"/>
          <w:szCs w:val="28"/>
          <w:u w:val="single"/>
        </w:rPr>
        <w:t>　　     　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>
      <w:pPr>
        <w:ind w:firstLine="565" w:firstLineChars="20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联系地址：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zh-CN"/>
        </w:rPr>
        <w:t>山西省太原市坞城路92号</w:t>
      </w:r>
    </w:p>
    <w:p>
      <w:pPr>
        <w:ind w:firstLine="565" w:firstLineChars="202"/>
        <w:rPr>
          <w:rFonts w:hint="default" w:ascii="仿宋" w:hAnsi="仿宋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zh-CN"/>
        </w:rPr>
        <w:t>0351-7011255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1、专业人员论证意见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2、检验试剂采购明细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5255260" cy="7350125"/>
            <wp:effectExtent l="0" t="0" r="2540" b="317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735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114300" distR="114300">
            <wp:extent cx="5269865" cy="7564755"/>
            <wp:effectExtent l="0" t="0" r="6985" b="1714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6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114300" distR="114300">
            <wp:extent cx="5260340" cy="7741920"/>
            <wp:effectExtent l="0" t="0" r="16510" b="1143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7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tbl>
      <w:tblPr>
        <w:tblStyle w:val="5"/>
        <w:tblW w:w="949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35"/>
        <w:gridCol w:w="709"/>
        <w:gridCol w:w="709"/>
        <w:gridCol w:w="1134"/>
        <w:gridCol w:w="1134"/>
        <w:gridCol w:w="1559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5"/>
                <w:rFonts w:ascii="宋体" w:hAnsi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5"/>
                <w:rFonts w:hint="eastAsia" w:ascii="宋体" w:hAnsi="宋体"/>
                <w:kern w:val="0"/>
                <w:sz w:val="22"/>
                <w:szCs w:val="22"/>
              </w:rPr>
              <w:t>货物</w:t>
            </w:r>
            <w:r>
              <w:rPr>
                <w:rStyle w:val="15"/>
                <w:rFonts w:ascii="宋体" w:hAnsi="宋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Style w:val="15"/>
                <w:kern w:val="0"/>
                <w:sz w:val="22"/>
                <w:szCs w:val="22"/>
              </w:rPr>
            </w:pPr>
            <w:r>
              <w:rPr>
                <w:rStyle w:val="15"/>
                <w:kern w:val="0"/>
                <w:sz w:val="22"/>
                <w:szCs w:val="22"/>
              </w:rPr>
              <w:t>数量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5"/>
                <w:rFonts w:ascii="宋体" w:hAnsi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5"/>
                <w:rFonts w:ascii="宋体" w:hAnsi="宋体"/>
                <w:kern w:val="0"/>
                <w:sz w:val="22"/>
                <w:szCs w:val="22"/>
              </w:rPr>
              <w:t>预算单价（元）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5"/>
                <w:rFonts w:ascii="宋体" w:hAnsi="宋体"/>
                <w:kern w:val="0"/>
                <w:sz w:val="22"/>
                <w:szCs w:val="22"/>
              </w:rPr>
              <w:t>预算总价</w:t>
            </w:r>
            <w:r>
              <w:rPr>
                <w:rStyle w:val="15"/>
                <w:kern w:val="0"/>
                <w:sz w:val="22"/>
                <w:szCs w:val="22"/>
              </w:rPr>
              <w:t>(</w:t>
            </w:r>
            <w:r>
              <w:rPr>
                <w:rStyle w:val="15"/>
                <w:rFonts w:ascii="宋体" w:hAnsi="宋体"/>
                <w:kern w:val="0"/>
                <w:sz w:val="22"/>
                <w:szCs w:val="22"/>
              </w:rPr>
              <w:t>元</w:t>
            </w:r>
            <w:r>
              <w:rPr>
                <w:rStyle w:val="15"/>
                <w:kern w:val="0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2"/>
                <w:szCs w:val="22"/>
              </w:rPr>
              <w:t>规格型号及配置技术参数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5"/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15"/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Style w:val="15"/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15"/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尿素【14C】呼气试验药盒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Style w:val="15"/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15"/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4000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Style w:val="15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Style w:val="15"/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15"/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Style w:val="15"/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1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240000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15"/>
                <w:rFonts w:hint="eastAsia" w:ascii="宋体" w:hAnsi="宋体"/>
                <w:kern w:val="0"/>
                <w:sz w:val="20"/>
                <w:szCs w:val="20"/>
              </w:rPr>
              <w:t>27.8KBq(0.75μCi)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Style w:val="15"/>
                <w:rFonts w:hint="eastAsia" w:ascii="Arial Unicode MS" w:hAnsi="Arial Unicode MS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15"/>
                <w:rFonts w:hint="eastAsia" w:ascii="Arial Unicode MS" w:hAnsi="Arial Unicode MS"/>
                <w:color w:val="000000"/>
                <w:kern w:val="0"/>
                <w:sz w:val="20"/>
                <w:szCs w:val="20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Style w:val="15"/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Style w:val="15"/>
                <w:rFonts w:ascii="宋体" w:hAnsi="宋体" w:cs="宋体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5"/>
                <w:rFonts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5"/>
                <w:rFonts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5"/>
                <w:rFonts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15"/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240000</w:t>
            </w:r>
            <w:r>
              <w:rPr>
                <w:rStyle w:val="15"/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5"/>
                <w:rFonts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Style w:val="15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5"/>
                <w:rFonts w:ascii="宋体" w:hAnsi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D3"/>
    <w:rsid w:val="000D0E59"/>
    <w:rsid w:val="001D3FC2"/>
    <w:rsid w:val="002E2085"/>
    <w:rsid w:val="00313636"/>
    <w:rsid w:val="00501C29"/>
    <w:rsid w:val="00532E90"/>
    <w:rsid w:val="00562669"/>
    <w:rsid w:val="0058337C"/>
    <w:rsid w:val="005A0639"/>
    <w:rsid w:val="005C49D3"/>
    <w:rsid w:val="00743796"/>
    <w:rsid w:val="00B53176"/>
    <w:rsid w:val="00D32C0C"/>
    <w:rsid w:val="00DD322E"/>
    <w:rsid w:val="00FA4A19"/>
    <w:rsid w:val="00FD17FA"/>
    <w:rsid w:val="01211334"/>
    <w:rsid w:val="012C5630"/>
    <w:rsid w:val="012F73F7"/>
    <w:rsid w:val="01BC2368"/>
    <w:rsid w:val="01D863CF"/>
    <w:rsid w:val="02A87440"/>
    <w:rsid w:val="07760434"/>
    <w:rsid w:val="0AC0747E"/>
    <w:rsid w:val="0B7A5836"/>
    <w:rsid w:val="0D0F2988"/>
    <w:rsid w:val="0D835B61"/>
    <w:rsid w:val="13A06E4E"/>
    <w:rsid w:val="147510FD"/>
    <w:rsid w:val="14B35334"/>
    <w:rsid w:val="17F47EE3"/>
    <w:rsid w:val="183A43C7"/>
    <w:rsid w:val="18BF2933"/>
    <w:rsid w:val="18CA0757"/>
    <w:rsid w:val="1B1D69BD"/>
    <w:rsid w:val="1B2D58D4"/>
    <w:rsid w:val="1C320FFF"/>
    <w:rsid w:val="1E4E3685"/>
    <w:rsid w:val="1E853E44"/>
    <w:rsid w:val="1EFF0320"/>
    <w:rsid w:val="20A57948"/>
    <w:rsid w:val="20AA6442"/>
    <w:rsid w:val="223428D5"/>
    <w:rsid w:val="28E362E4"/>
    <w:rsid w:val="2B607509"/>
    <w:rsid w:val="2C7C6433"/>
    <w:rsid w:val="2F5024C1"/>
    <w:rsid w:val="33AB7056"/>
    <w:rsid w:val="33CB4BC1"/>
    <w:rsid w:val="34E05F26"/>
    <w:rsid w:val="35B0075F"/>
    <w:rsid w:val="36481F31"/>
    <w:rsid w:val="388422F8"/>
    <w:rsid w:val="388430DC"/>
    <w:rsid w:val="3AAE0502"/>
    <w:rsid w:val="41682B01"/>
    <w:rsid w:val="45824D9C"/>
    <w:rsid w:val="47AB29E4"/>
    <w:rsid w:val="49DB26F5"/>
    <w:rsid w:val="4E106F73"/>
    <w:rsid w:val="500F5A63"/>
    <w:rsid w:val="50281D24"/>
    <w:rsid w:val="537022E8"/>
    <w:rsid w:val="556575EC"/>
    <w:rsid w:val="565078D8"/>
    <w:rsid w:val="58BE40DC"/>
    <w:rsid w:val="5A53096C"/>
    <w:rsid w:val="5E7247D2"/>
    <w:rsid w:val="5EC255F4"/>
    <w:rsid w:val="5FCC7444"/>
    <w:rsid w:val="606348F2"/>
    <w:rsid w:val="619E2E19"/>
    <w:rsid w:val="63E62C51"/>
    <w:rsid w:val="644E76E6"/>
    <w:rsid w:val="6A7B16B0"/>
    <w:rsid w:val="6E1610C8"/>
    <w:rsid w:val="714C59D2"/>
    <w:rsid w:val="761D3F6D"/>
    <w:rsid w:val="7B0C119C"/>
    <w:rsid w:val="7CBA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rFonts w:cs="Times New Roman"/>
      <w:b/>
      <w:bCs/>
    </w:r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7"/>
    <w:link w:val="3"/>
    <w:uiPriority w:val="0"/>
    <w:rPr>
      <w:kern w:val="2"/>
      <w:sz w:val="18"/>
      <w:szCs w:val="18"/>
    </w:rPr>
  </w:style>
  <w:style w:type="paragraph" w:customStyle="1" w:styleId="14">
    <w:name w:val="Heading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15">
    <w:name w:val="NormalCharacter"/>
    <w:semiHidden/>
    <w:qFormat/>
    <w:uiPriority w:val="0"/>
  </w:style>
  <w:style w:type="table" w:customStyle="1" w:styleId="16">
    <w:name w:val="TableNormal"/>
    <w:semiHidden/>
    <w:qFormat/>
    <w:uiPriority w:val="0"/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4"/>
      <w:szCs w:val="24"/>
    </w:rPr>
  </w:style>
  <w:style w:type="character" w:customStyle="1" w:styleId="18">
    <w:name w:val="PageNumber"/>
    <w:basedOn w:val="15"/>
    <w:qFormat/>
    <w:uiPriority w:val="0"/>
  </w:style>
  <w:style w:type="paragraph" w:customStyle="1" w:styleId="19">
    <w:name w:val="UserStyle_0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4"/>
      <w:szCs w:val="24"/>
    </w:rPr>
  </w:style>
  <w:style w:type="paragraph" w:customStyle="1" w:styleId="20">
    <w:name w:val="Acetate"/>
    <w:basedOn w:val="1"/>
    <w:semiHidden/>
    <w:uiPriority w:val="0"/>
    <w:pPr>
      <w:widowControl/>
      <w:textAlignment w:val="baseline"/>
    </w:pPr>
    <w:rPr>
      <w:rFonts w:cstheme="minorBidi"/>
      <w:sz w:val="18"/>
      <w:szCs w:val="18"/>
    </w:rPr>
  </w:style>
  <w:style w:type="table" w:customStyle="1" w:styleId="21">
    <w:name w:val="TableGrid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TableElegant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TableClassic1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TableSubtle1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TableTheme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TableColorful1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TableColorful2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TableColorful3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UserStyle_1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4"/>
      <w:szCs w:val="24"/>
    </w:rPr>
  </w:style>
  <w:style w:type="paragraph" w:customStyle="1" w:styleId="30">
    <w:name w:val="UserStyle_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18"/>
      <w:szCs w:val="18"/>
    </w:rPr>
  </w:style>
  <w:style w:type="paragraph" w:customStyle="1" w:styleId="31">
    <w:name w:val="UserStyle_3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32">
    <w:name w:val="UserStyle_4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cstheme="minorBidi"/>
      <w:kern w:val="0"/>
      <w:sz w:val="22"/>
      <w:szCs w:val="22"/>
    </w:rPr>
  </w:style>
  <w:style w:type="paragraph" w:customStyle="1" w:styleId="33">
    <w:name w:val="UserStyle_5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18"/>
      <w:szCs w:val="18"/>
    </w:rPr>
  </w:style>
  <w:style w:type="paragraph" w:customStyle="1" w:styleId="34">
    <w:name w:val="UserStyle_6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35">
    <w:name w:val="UserStyle_7"/>
    <w:basedOn w:val="1"/>
    <w:qFormat/>
    <w:uiPriority w:val="0"/>
    <w:pPr>
      <w:widowControl/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36">
    <w:name w:val="UserStyle_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theme="minorBidi"/>
      <w:kern w:val="0"/>
      <w:sz w:val="22"/>
      <w:szCs w:val="22"/>
    </w:rPr>
  </w:style>
  <w:style w:type="paragraph" w:customStyle="1" w:styleId="37">
    <w:name w:val="UserStyle_9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38">
    <w:name w:val="UserStyle_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39">
    <w:name w:val="UserStyle_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0">
    <w:name w:val="UserStyle_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cstheme="minorBidi"/>
      <w:kern w:val="0"/>
      <w:sz w:val="22"/>
      <w:szCs w:val="22"/>
    </w:rPr>
  </w:style>
  <w:style w:type="paragraph" w:customStyle="1" w:styleId="41">
    <w:name w:val="UserStyle_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2">
    <w:name w:val="UserStyle_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color w:val="000000"/>
      <w:kern w:val="0"/>
      <w:sz w:val="22"/>
      <w:szCs w:val="22"/>
    </w:rPr>
  </w:style>
  <w:style w:type="paragraph" w:customStyle="1" w:styleId="43">
    <w:name w:val="UserStyle_15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4">
    <w:name w:val="UserStyle_16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5">
    <w:name w:val="UserStyle_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6">
    <w:name w:val="UserStyle_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7">
    <w:name w:val="UserStyle_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8">
    <w:name w:val="UserStyle_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49">
    <w:name w:val="UserStyle_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0">
    <w:name w:val="UserStyle_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51">
    <w:name w:val="UserStyle_2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2">
    <w:name w:val="UserStyle_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3">
    <w:name w:val="UserStyle_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4">
    <w:name w:val="UserStyle_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55">
    <w:name w:val="UserStyle_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56">
    <w:name w:val="UserStyle_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7">
    <w:name w:val="UserStyle_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58">
    <w:name w:val="UserStyle_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9">
    <w:name w:val="UserStyle_31"/>
    <w:basedOn w:val="1"/>
    <w:qFormat/>
    <w:uiPriority w:val="0"/>
    <w:pPr>
      <w:widowControl/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60">
    <w:name w:val="UserStyle_3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61">
    <w:name w:val="UserStyle_3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62">
    <w:name w:val="UserStyle_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Arial Unicode MS" w:hAnsi="Arial Unicode MS" w:cstheme="minorBidi"/>
      <w:color w:val="000000"/>
      <w:kern w:val="0"/>
      <w:sz w:val="20"/>
      <w:szCs w:val="20"/>
    </w:rPr>
  </w:style>
  <w:style w:type="paragraph" w:customStyle="1" w:styleId="63">
    <w:name w:val="UserStyle_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Arial Unicode MS" w:hAnsi="Arial Unicode MS" w:cstheme="minorBidi"/>
      <w:color w:val="000000"/>
      <w:kern w:val="0"/>
      <w:sz w:val="20"/>
      <w:szCs w:val="20"/>
    </w:rPr>
  </w:style>
  <w:style w:type="paragraph" w:customStyle="1" w:styleId="64">
    <w:name w:val="UserStyle_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65">
    <w:name w:val="UserStyle_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66">
    <w:name w:val="UserStyle_3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18"/>
      <w:szCs w:val="18"/>
    </w:rPr>
  </w:style>
  <w:style w:type="paragraph" w:customStyle="1" w:styleId="67">
    <w:name w:val="UserStyle_3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68">
    <w:name w:val="UserStyle_4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69">
    <w:name w:val="UserStyle_4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70">
    <w:name w:val="UserStyle_4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71">
    <w:name w:val="UserStyle_43"/>
    <w:basedOn w:val="1"/>
    <w:uiPriority w:val="0"/>
    <w:pPr>
      <w:widowControl/>
      <w:spacing w:before="100" w:beforeAutospacing="1" w:after="100" w:afterAutospacing="1"/>
      <w:jc w:val="center"/>
      <w:textAlignment w:val="baseline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72">
    <w:name w:val="UserStyle_44"/>
    <w:basedOn w:val="1"/>
    <w:qFormat/>
    <w:uiPriority w:val="0"/>
    <w:pPr>
      <w:widowControl/>
      <w:spacing w:before="100" w:beforeAutospacing="1" w:after="100" w:afterAutospacing="1"/>
      <w:jc w:val="righ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3">
    <w:name w:val="UserStyle_45"/>
    <w:basedOn w:val="1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4">
    <w:name w:val="UserStyle_46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5">
    <w:name w:val="UserStyle_47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6">
    <w:name w:val="UserStyle_48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7">
    <w:name w:val="UserStyle_49"/>
    <w:basedOn w:val="1"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8">
    <w:name w:val="UserStyle_50"/>
    <w:basedOn w:val="1"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righ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9">
    <w:name w:val="UserStyle_51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zcc</Company>
  <Pages>11</Pages>
  <Words>1293</Words>
  <Characters>7374</Characters>
  <Lines>61</Lines>
  <Paragraphs>17</Paragraphs>
  <TotalTime>14</TotalTime>
  <ScaleCrop>false</ScaleCrop>
  <LinksUpToDate>false</LinksUpToDate>
  <CharactersWithSpaces>8650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2021-04-02T02:47:00Z</dcterms:created>
  <dc:creator>Administrator</dc:creator>
  <cp:lastModifiedBy>W光泰</cp:lastModifiedBy>
  <dcterms:modified xsi:type="dcterms:W3CDTF">2021-05-17T07:35:02Z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9AE34995E45E4BD7BEEBED31749A5080</vt:lpwstr>
  </property>
</Properties>
</file>