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hint="eastAsia" w:ascii="华文中宋" w:hAnsi="华文中宋" w:eastAsia="华文中宋"/>
          <w:lang w:val="en-US" w:eastAsia="zh-CN"/>
        </w:rPr>
      </w:pPr>
      <w:bookmarkStart w:id="0" w:name="_Toc28359042"/>
      <w:bookmarkStart w:id="1" w:name="_Toc35393832"/>
      <w:r>
        <w:rPr>
          <w:rFonts w:hint="eastAsia" w:ascii="华文中宋" w:hAnsi="华文中宋" w:eastAsia="华文中宋"/>
        </w:rPr>
        <w:t>山西大学</w:t>
      </w:r>
      <w:r>
        <w:rPr>
          <w:rFonts w:hint="eastAsia" w:ascii="华文中宋" w:hAnsi="华文中宋" w:eastAsia="华文中宋"/>
          <w:lang w:val="zh-CN" w:eastAsia="zh-CN"/>
        </w:rPr>
        <w:t>Taylor &amp; Francis哲学类电子书数据库</w:t>
      </w:r>
      <w:r>
        <w:rPr>
          <w:rFonts w:hint="eastAsia" w:ascii="华文中宋" w:hAnsi="华文中宋" w:eastAsia="华文中宋"/>
        </w:rPr>
        <w:t>（SDDY-2100</w:t>
      </w:r>
      <w:r>
        <w:rPr>
          <w:rFonts w:hint="eastAsia" w:ascii="华文中宋" w:hAnsi="华文中宋" w:eastAsia="华文中宋"/>
          <w:lang w:val="en-US" w:eastAsia="zh-CN"/>
        </w:rPr>
        <w:t>9</w:t>
      </w:r>
      <w:r>
        <w:rPr>
          <w:rFonts w:hint="eastAsia" w:ascii="华文中宋" w:hAnsi="华文中宋" w:eastAsia="华文中宋"/>
        </w:rPr>
        <w:t>）</w:t>
      </w:r>
      <w:r>
        <w:rPr>
          <w:rFonts w:hint="eastAsia" w:ascii="华文中宋" w:hAnsi="华文中宋" w:eastAsia="华文中宋"/>
          <w:lang w:val="en-US" w:eastAsia="zh-CN"/>
        </w:rPr>
        <w:t xml:space="preserve">        </w:t>
      </w:r>
    </w:p>
    <w:p>
      <w:pPr>
        <w:pStyle w:val="2"/>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lang w:val="en-US" w:eastAsia="zh-CN"/>
        </w:rPr>
        <w:t xml:space="preserve">    </w:t>
      </w:r>
      <w:r>
        <w:rPr>
          <w:rFonts w:hint="eastAsia" w:ascii="华文中宋" w:hAnsi="华文中宋" w:eastAsia="华文中宋"/>
        </w:rPr>
        <w:t>单一来源征求意见公示</w:t>
      </w:r>
      <w:bookmarkEnd w:id="0"/>
      <w:bookmarkEnd w:id="1"/>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ascii="仿宋" w:hAnsi="仿宋" w:eastAsia="仿宋"/>
          <w:sz w:val="28"/>
          <w:szCs w:val="28"/>
          <w:u w:val="single"/>
        </w:rPr>
      </w:pPr>
      <w:r>
        <w:rPr>
          <w:rFonts w:hint="eastAsia" w:ascii="仿宋" w:hAnsi="仿宋" w:eastAsia="仿宋"/>
          <w:sz w:val="28"/>
          <w:szCs w:val="28"/>
        </w:rPr>
        <w:t>采购人：</w:t>
      </w:r>
      <w:r>
        <w:rPr>
          <w:rFonts w:hint="eastAsia" w:ascii="仿宋" w:hAnsi="仿宋" w:eastAsia="仿宋"/>
          <w:sz w:val="28"/>
          <w:szCs w:val="28"/>
          <w:u w:val="single"/>
        </w:rPr>
        <w:t>山西大学</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lang w:val="en-US" w:eastAsia="zh-CN"/>
        </w:rPr>
        <w:t>山西大学</w:t>
      </w:r>
      <w:r>
        <w:rPr>
          <w:rFonts w:hint="eastAsia" w:ascii="仿宋" w:hAnsi="仿宋" w:eastAsia="仿宋"/>
          <w:sz w:val="28"/>
          <w:szCs w:val="28"/>
          <w:u w:val="single"/>
          <w:lang w:val="zh-CN" w:eastAsia="zh-CN"/>
        </w:rPr>
        <w:t>Taylor &amp; Francis哲学类电子书数据库</w:t>
      </w:r>
    </w:p>
    <w:p>
      <w:pPr>
        <w:ind w:firstLine="560" w:firstLineChars="200"/>
        <w:rPr>
          <w:rFonts w:hint="eastAsia" w:ascii="仿宋" w:hAnsi="仿宋" w:eastAsia="仿宋"/>
          <w:sz w:val="28"/>
          <w:szCs w:val="28"/>
          <w:lang w:val="zh-CN" w:eastAsia="zh-CN"/>
        </w:rPr>
      </w:pPr>
      <w:r>
        <w:rPr>
          <w:rFonts w:hint="eastAsia" w:ascii="仿宋" w:hAnsi="仿宋" w:eastAsia="仿宋"/>
          <w:sz w:val="28"/>
          <w:szCs w:val="28"/>
        </w:rPr>
        <w:t>拟采购的货物或服务的说明：</w:t>
      </w:r>
      <w:r>
        <w:rPr>
          <w:rFonts w:hint="eastAsia" w:ascii="仿宋" w:hAnsi="仿宋" w:eastAsia="仿宋"/>
          <w:sz w:val="28"/>
          <w:szCs w:val="28"/>
          <w:lang w:val="zh-CN" w:eastAsia="zh-CN"/>
        </w:rPr>
        <w:t>Taylor &amp; Francis哲学类电子书数据库是世界上公认的最重要的哲学出版商之一Taylor &amp; Francis出版集团出版的外文电子图书数据库资源，提供的5200余种英文原版的高质量的学术电子书，涉及欧陆哲学、科技哲学、认识论、伦理学、马克思主义哲学、西方哲学、女性主义哲学、哲学史、形而上学、现象学、思维哲学、宗教哲学及政治哲学等多个哲学研究领域。Taylor &amp; Francis哲学类电子书数据库作为一站式全新电子书平台，对本项目所包含的5200余本外文图书电子资源拥有永久访问权，IP范围内合理下载，无DRM（数字版权管理）的限制，无并发用户限制，方便读者检索搜寻、浏览下载更专业的哲学书籍，数据库提供商为该产品唯一生产厂商，特申请此项目采用单一来源方式采购。</w:t>
      </w:r>
    </w:p>
    <w:p>
      <w:pPr>
        <w:ind w:firstLine="560" w:firstLineChars="200"/>
        <w:rPr>
          <w:rFonts w:ascii="仿宋" w:hAnsi="仿宋" w:eastAsia="仿宋"/>
          <w:sz w:val="28"/>
          <w:szCs w:val="28"/>
        </w:rPr>
      </w:pPr>
    </w:p>
    <w:p>
      <w:pPr>
        <w:ind w:firstLine="560" w:firstLineChars="200"/>
        <w:rPr>
          <w:rFonts w:ascii="仿宋" w:hAnsi="仿宋" w:eastAsia="仿宋"/>
          <w:sz w:val="28"/>
          <w:szCs w:val="28"/>
          <w:u w:val="single"/>
        </w:rPr>
      </w:pPr>
      <w:r>
        <w:rPr>
          <w:rFonts w:hint="eastAsia" w:ascii="仿宋" w:hAnsi="仿宋" w:eastAsia="仿宋"/>
          <w:sz w:val="28"/>
          <w:szCs w:val="28"/>
        </w:rPr>
        <w:t>拟采购的货物或服务的预算金额：</w:t>
      </w:r>
      <w:r>
        <w:rPr>
          <w:rFonts w:hint="eastAsia" w:ascii="仿宋" w:hAnsi="仿宋" w:eastAsia="仿宋"/>
          <w:sz w:val="28"/>
          <w:szCs w:val="28"/>
          <w:u w:val="single"/>
          <w:lang w:val="en-US" w:eastAsia="zh-CN"/>
        </w:rPr>
        <w:t>2030000</w:t>
      </w:r>
      <w:r>
        <w:rPr>
          <w:rFonts w:hint="eastAsia" w:ascii="仿宋" w:hAnsi="仿宋" w:eastAsia="仿宋"/>
          <w:sz w:val="28"/>
          <w:szCs w:val="28"/>
          <w:u w:val="single"/>
        </w:rPr>
        <w:t>元</w:t>
      </w:r>
    </w:p>
    <w:p>
      <w:pPr>
        <w:ind w:firstLine="560" w:firstLineChars="200"/>
        <w:rPr>
          <w:rFonts w:ascii="仿宋" w:hAnsi="仿宋" w:eastAsia="仿宋"/>
          <w:sz w:val="28"/>
          <w:szCs w:val="28"/>
        </w:rPr>
      </w:pPr>
      <w:r>
        <w:rPr>
          <w:rFonts w:hint="eastAsia" w:ascii="仿宋" w:hAnsi="仿宋" w:eastAsia="仿宋"/>
          <w:sz w:val="28"/>
          <w:szCs w:val="28"/>
        </w:rPr>
        <w:t>采用单一来源采购方式的原因及说明：</w:t>
      </w:r>
      <w:r>
        <w:rPr>
          <w:rFonts w:hint="eastAsia" w:ascii="仿宋" w:hAnsi="仿宋" w:eastAsia="仿宋"/>
          <w:sz w:val="28"/>
          <w:szCs w:val="28"/>
          <w:lang w:val="zh-CN" w:eastAsia="zh-CN"/>
        </w:rPr>
        <w:t>专业性强的哲学类外文电子书数据库资源是哲学</w:t>
      </w:r>
      <w:r>
        <w:rPr>
          <w:rFonts w:hint="eastAsia" w:ascii="仿宋" w:hAnsi="仿宋" w:eastAsia="仿宋"/>
          <w:sz w:val="28"/>
          <w:szCs w:val="28"/>
          <w:lang w:val="en-US" w:eastAsia="zh-CN"/>
        </w:rPr>
        <w:t>学科教师</w:t>
      </w:r>
      <w:r>
        <w:rPr>
          <w:rFonts w:hint="eastAsia" w:ascii="仿宋" w:hAnsi="仿宋" w:eastAsia="仿宋"/>
          <w:sz w:val="28"/>
          <w:szCs w:val="28"/>
          <w:lang w:val="zh-CN" w:eastAsia="zh-CN"/>
        </w:rPr>
        <w:t>教学科研所必须的资源，英文原版哲学类</w:t>
      </w:r>
      <w:r>
        <w:rPr>
          <w:rFonts w:hint="eastAsia" w:ascii="仿宋" w:hAnsi="仿宋" w:eastAsia="仿宋"/>
          <w:sz w:val="28"/>
          <w:szCs w:val="28"/>
          <w:lang w:val="en-US" w:eastAsia="zh-CN"/>
        </w:rPr>
        <w:t>数据库资源的采购对学校师生在教学科研中获取所需的文献资源具有重要性和必要性，该</w:t>
      </w:r>
      <w:r>
        <w:rPr>
          <w:rFonts w:hint="eastAsia" w:ascii="仿宋" w:hAnsi="仿宋" w:eastAsia="仿宋"/>
          <w:sz w:val="28"/>
          <w:szCs w:val="28"/>
          <w:lang w:val="zh-CN" w:eastAsia="zh-CN"/>
        </w:rPr>
        <w:t>数据库涵盖的内容、涉及的范围具有唯一性和不可替代性，数据库提供商为该产品唯一生产厂商，拥有自主知识产权，为该公司独有，只能从唯一供应商（Taylor &amp; Francis出版集团）处采购。国内代理商中国教育图书进出口有限公司有数据库商的</w:t>
      </w:r>
      <w:r>
        <w:rPr>
          <w:rFonts w:hint="eastAsia" w:ascii="仿宋" w:hAnsi="仿宋" w:eastAsia="仿宋"/>
          <w:sz w:val="28"/>
          <w:szCs w:val="28"/>
          <w:lang w:val="en-US" w:eastAsia="zh-CN"/>
        </w:rPr>
        <w:t>唯一</w:t>
      </w:r>
      <w:r>
        <w:rPr>
          <w:rFonts w:hint="eastAsia" w:ascii="仿宋" w:hAnsi="仿宋" w:eastAsia="仿宋"/>
          <w:sz w:val="28"/>
          <w:szCs w:val="28"/>
          <w:lang w:val="zh-CN" w:eastAsia="zh-CN"/>
        </w:rPr>
        <w:t>合法授权，具有代理付款资格，</w:t>
      </w:r>
      <w:r>
        <w:rPr>
          <w:rFonts w:hint="eastAsia" w:ascii="仿宋" w:hAnsi="仿宋" w:eastAsia="仿宋"/>
          <w:sz w:val="28"/>
          <w:szCs w:val="28"/>
          <w:lang w:val="en-US" w:eastAsia="zh-CN"/>
        </w:rPr>
        <w:t>故</w:t>
      </w:r>
      <w:r>
        <w:rPr>
          <w:rFonts w:hint="eastAsia" w:ascii="仿宋" w:hAnsi="仿宋" w:eastAsia="仿宋"/>
          <w:sz w:val="28"/>
          <w:szCs w:val="28"/>
          <w:lang w:val="zh-CN" w:eastAsia="zh-CN"/>
        </w:rPr>
        <w:t>只能从国内唯一</w:t>
      </w:r>
      <w:r>
        <w:rPr>
          <w:rFonts w:hint="eastAsia" w:ascii="仿宋" w:hAnsi="仿宋" w:eastAsia="仿宋"/>
          <w:sz w:val="28"/>
          <w:szCs w:val="28"/>
          <w:lang w:val="en-US" w:eastAsia="zh-CN"/>
        </w:rPr>
        <w:t>代理商</w:t>
      </w:r>
      <w:r>
        <w:rPr>
          <w:rFonts w:hint="eastAsia" w:ascii="仿宋" w:hAnsi="仿宋" w:eastAsia="仿宋"/>
          <w:sz w:val="28"/>
          <w:szCs w:val="28"/>
          <w:lang w:val="zh-CN" w:eastAsia="zh-CN"/>
        </w:rPr>
        <w:t>处采购。综合以上原因，申请此项目为单一来源方式采购。</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黑体" w:hAnsi="黑体" w:eastAsia="黑体"/>
          <w:sz w:val="28"/>
          <w:szCs w:val="28"/>
        </w:rPr>
      </w:pPr>
      <w:r>
        <w:rPr>
          <w:rFonts w:hint="eastAsia" w:ascii="黑体" w:hAnsi="黑体" w:eastAsia="黑体"/>
          <w:sz w:val="28"/>
          <w:szCs w:val="28"/>
        </w:rPr>
        <w:t>二、拟定供应商信息</w:t>
      </w:r>
    </w:p>
    <w:p>
      <w:pPr>
        <w:ind w:firstLine="560" w:firstLineChars="200"/>
        <w:rPr>
          <w:rFonts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rPr>
        <w:t>　</w:t>
      </w:r>
      <w:r>
        <w:rPr>
          <w:rFonts w:hint="eastAsia" w:ascii="仿宋" w:hAnsi="仿宋" w:eastAsia="仿宋"/>
          <w:sz w:val="28"/>
          <w:szCs w:val="28"/>
          <w:u w:val="single"/>
          <w:lang w:val="en-US" w:eastAsia="zh-CN"/>
        </w:rPr>
        <w:t>中国教育图书进出口有限公司</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lang w:val="en-US" w:eastAsia="zh-CN"/>
        </w:rPr>
        <w:t>北京市海淀区亮甲店路130号华玉大厦405室</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三、公示期限</w:t>
      </w:r>
    </w:p>
    <w:p>
      <w:pPr>
        <w:pStyle w:val="11"/>
        <w:ind w:left="-10" w:leftChars="-5" w:firstLine="560"/>
        <w:rPr>
          <w:rFonts w:ascii="仿宋" w:hAnsi="仿宋" w:eastAsia="仿宋"/>
          <w:sz w:val="28"/>
          <w:szCs w:val="28"/>
        </w:rPr>
      </w:pPr>
      <w:r>
        <w:rPr>
          <w:rFonts w:hint="eastAsia" w:ascii="仿宋" w:hAnsi="仿宋" w:eastAsia="仿宋"/>
          <w:sz w:val="28"/>
          <w:szCs w:val="28"/>
          <w:u w:val="single"/>
        </w:rPr>
        <w:t>2</w:t>
      </w:r>
      <w:r>
        <w:rPr>
          <w:rFonts w:ascii="仿宋" w:hAnsi="仿宋" w:eastAsia="仿宋"/>
          <w:sz w:val="28"/>
          <w:szCs w:val="28"/>
          <w:u w:val="single"/>
        </w:rPr>
        <w:t>021</w:t>
      </w:r>
      <w:r>
        <w:rPr>
          <w:rFonts w:hint="eastAsia" w:ascii="仿宋" w:hAnsi="仿宋" w:eastAsia="仿宋"/>
          <w:sz w:val="28"/>
          <w:szCs w:val="28"/>
          <w:u w:val="single"/>
        </w:rPr>
        <w:t>年</w:t>
      </w:r>
      <w:r>
        <w:rPr>
          <w:rFonts w:hint="eastAsia" w:ascii="仿宋" w:hAnsi="仿宋" w:eastAsia="仿宋"/>
          <w:sz w:val="28"/>
          <w:szCs w:val="28"/>
          <w:u w:val="single"/>
          <w:lang w:val="en-US" w:eastAsia="zh-CN"/>
        </w:rPr>
        <w:t>6</w:t>
      </w:r>
      <w:r>
        <w:rPr>
          <w:rFonts w:hint="eastAsia" w:ascii="仿宋" w:hAnsi="仿宋" w:eastAsia="仿宋"/>
          <w:sz w:val="28"/>
          <w:szCs w:val="28"/>
          <w:u w:val="single"/>
        </w:rPr>
        <w:t>月</w:t>
      </w:r>
      <w:r>
        <w:rPr>
          <w:rFonts w:hint="eastAsia" w:ascii="仿宋" w:hAnsi="仿宋" w:eastAsia="仿宋"/>
          <w:sz w:val="28"/>
          <w:szCs w:val="28"/>
          <w:u w:val="single"/>
          <w:lang w:val="en-US" w:eastAsia="zh-CN"/>
        </w:rPr>
        <w:t>18</w:t>
      </w:r>
      <w:r>
        <w:rPr>
          <w:rFonts w:hint="eastAsia" w:ascii="仿宋" w:hAnsi="仿宋" w:eastAsia="仿宋"/>
          <w:sz w:val="28"/>
          <w:szCs w:val="28"/>
          <w:u w:val="single"/>
        </w:rPr>
        <w:t>日</w:t>
      </w:r>
      <w:r>
        <w:rPr>
          <w:rFonts w:hint="eastAsia" w:ascii="仿宋" w:hAnsi="仿宋" w:eastAsia="仿宋"/>
          <w:sz w:val="28"/>
          <w:szCs w:val="28"/>
        </w:rPr>
        <w:t>至</w:t>
      </w:r>
      <w:r>
        <w:rPr>
          <w:rFonts w:hint="eastAsia" w:ascii="仿宋" w:hAnsi="仿宋" w:eastAsia="仿宋"/>
          <w:sz w:val="28"/>
          <w:szCs w:val="28"/>
          <w:u w:val="single"/>
        </w:rPr>
        <w:t>2021年</w:t>
      </w:r>
      <w:r>
        <w:rPr>
          <w:rFonts w:hint="eastAsia" w:ascii="仿宋" w:hAnsi="仿宋" w:eastAsia="仿宋"/>
          <w:sz w:val="28"/>
          <w:szCs w:val="28"/>
          <w:u w:val="single"/>
          <w:lang w:val="en-US" w:eastAsia="zh-CN"/>
        </w:rPr>
        <w:t>6</w:t>
      </w:r>
      <w:r>
        <w:rPr>
          <w:rFonts w:hint="eastAsia" w:ascii="仿宋" w:hAnsi="仿宋" w:eastAsia="仿宋"/>
          <w:sz w:val="28"/>
          <w:szCs w:val="28"/>
          <w:u w:val="single"/>
        </w:rPr>
        <w:t>月</w:t>
      </w:r>
      <w:r>
        <w:rPr>
          <w:rFonts w:hint="eastAsia" w:ascii="仿宋" w:hAnsi="仿宋" w:eastAsia="仿宋"/>
          <w:sz w:val="28"/>
          <w:szCs w:val="28"/>
          <w:u w:val="single"/>
          <w:lang w:val="en-US" w:eastAsia="zh-CN"/>
        </w:rPr>
        <w:t>24</w:t>
      </w:r>
      <w:r>
        <w:rPr>
          <w:rFonts w:hint="eastAsia" w:ascii="仿宋" w:hAnsi="仿宋" w:eastAsia="仿宋"/>
          <w:sz w:val="28"/>
          <w:szCs w:val="28"/>
          <w:u w:val="single"/>
        </w:rPr>
        <w:t>日</w:t>
      </w:r>
      <w:r>
        <w:rPr>
          <w:rFonts w:hint="eastAsia" w:ascii="仿宋" w:hAnsi="仿宋" w:eastAsia="仿宋"/>
          <w:iCs/>
          <w:sz w:val="28"/>
          <w:szCs w:val="28"/>
          <w:u w:val="single"/>
        </w:rPr>
        <w:t>（</w:t>
      </w:r>
      <w:r>
        <w:rPr>
          <w:rFonts w:hint="eastAsia" w:ascii="仿宋" w:hAnsi="仿宋" w:eastAsia="仿宋"/>
          <w:i/>
          <w:sz w:val="28"/>
          <w:szCs w:val="28"/>
          <w:u w:val="single"/>
        </w:rPr>
        <w:t>公示期限不得少于5个工作日</w:t>
      </w:r>
      <w:r>
        <w:rPr>
          <w:rFonts w:hint="eastAsia" w:ascii="仿宋" w:hAnsi="仿宋" w:eastAsia="仿宋"/>
          <w:iCs/>
          <w:sz w:val="28"/>
          <w:szCs w:val="28"/>
          <w:u w:val="single"/>
        </w:rPr>
        <w:t>）</w:t>
      </w:r>
    </w:p>
    <w:p>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bookmarkStart w:id="2" w:name="_GoBack"/>
      <w:bookmarkEnd w:id="2"/>
    </w:p>
    <w:p>
      <w:pPr>
        <w:rPr>
          <w:rFonts w:ascii="黑体" w:hAnsi="黑体" w:eastAsia="黑体"/>
          <w:sz w:val="28"/>
          <w:szCs w:val="28"/>
        </w:rPr>
      </w:pPr>
      <w:r>
        <w:rPr>
          <w:rFonts w:hint="eastAsia" w:ascii="黑体" w:hAnsi="黑体" w:eastAsia="黑体"/>
          <w:sz w:val="28"/>
          <w:szCs w:val="28"/>
        </w:rPr>
        <w:t>五、联系方式</w:t>
      </w:r>
    </w:p>
    <w:p>
      <w:pPr>
        <w:ind w:firstLine="565" w:firstLineChars="202"/>
        <w:rPr>
          <w:rFonts w:ascii="仿宋" w:hAnsi="仿宋" w:eastAsia="仿宋"/>
          <w:sz w:val="28"/>
          <w:szCs w:val="28"/>
        </w:rPr>
      </w:pPr>
      <w:r>
        <w:rPr>
          <w:rFonts w:hint="eastAsia" w:ascii="仿宋" w:hAnsi="仿宋" w:eastAsia="仿宋"/>
          <w:sz w:val="28"/>
          <w:szCs w:val="28"/>
        </w:rPr>
        <w:t>1.采购人</w:t>
      </w:r>
    </w:p>
    <w:p>
      <w:pPr>
        <w:ind w:firstLine="565" w:firstLineChars="202"/>
        <w:rPr>
          <w:rFonts w:hint="eastAsia" w:ascii="仿宋" w:hAnsi="仿宋" w:eastAsia="仿宋"/>
          <w:sz w:val="28"/>
          <w:szCs w:val="28"/>
          <w:lang w:val="en-US" w:eastAsia="zh-CN"/>
        </w:rPr>
      </w:pPr>
      <w:r>
        <w:rPr>
          <w:rFonts w:hint="eastAsia" w:ascii="仿宋" w:hAnsi="仿宋" w:eastAsia="仿宋"/>
          <w:sz w:val="28"/>
          <w:szCs w:val="28"/>
        </w:rPr>
        <w:t>联 系 人：</w:t>
      </w:r>
      <w:r>
        <w:rPr>
          <w:rFonts w:hint="eastAsia" w:ascii="仿宋" w:hAnsi="仿宋" w:eastAsia="仿宋"/>
          <w:sz w:val="28"/>
          <w:szCs w:val="28"/>
          <w:u w:val="single"/>
        </w:rPr>
        <w:t>　</w:t>
      </w:r>
      <w:r>
        <w:rPr>
          <w:rFonts w:hint="eastAsia" w:ascii="仿宋_GB2312" w:hAnsi="宋体" w:eastAsia="仿宋_GB2312" w:cs="仿宋_GB2312"/>
          <w:color w:val="000000"/>
          <w:kern w:val="0"/>
          <w:sz w:val="28"/>
          <w:szCs w:val="28"/>
          <w:u w:val="single"/>
          <w:lang w:val="zh-CN"/>
        </w:rPr>
        <w:t>范卓华</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4"/>
          <w:szCs w:val="24"/>
        </w:rPr>
      </w:pPr>
      <w:r>
        <w:rPr>
          <w:rFonts w:hint="eastAsia" w:ascii="仿宋" w:hAnsi="仿宋" w:eastAsia="仿宋"/>
          <w:sz w:val="28"/>
          <w:szCs w:val="28"/>
        </w:rPr>
        <w:t>联系地址：</w:t>
      </w:r>
      <w:r>
        <w:rPr>
          <w:rFonts w:hint="eastAsia" w:ascii="仿宋_GB2312" w:hAnsi="宋体" w:eastAsia="仿宋_GB2312" w:cs="仿宋_GB2312"/>
          <w:color w:val="000000"/>
          <w:kern w:val="0"/>
          <w:sz w:val="28"/>
          <w:szCs w:val="28"/>
          <w:u w:val="single"/>
          <w:lang w:val="zh-CN"/>
        </w:rPr>
        <w:t>山西省太原市坞城路92号</w:t>
      </w:r>
    </w:p>
    <w:p>
      <w:pPr>
        <w:ind w:firstLine="565" w:firstLineChars="202"/>
        <w:rPr>
          <w:rFonts w:hint="default" w:ascii="仿宋" w:hAnsi="仿宋" w:eastAsia="仿宋_GB2312"/>
          <w:sz w:val="28"/>
          <w:szCs w:val="28"/>
          <w:u w:val="single"/>
          <w:lang w:val="en-US" w:eastAsia="zh-CN"/>
        </w:rPr>
      </w:pPr>
      <w:r>
        <w:rPr>
          <w:rFonts w:hint="eastAsia" w:ascii="仿宋" w:hAnsi="仿宋" w:eastAsia="仿宋"/>
          <w:sz w:val="28"/>
          <w:szCs w:val="28"/>
        </w:rPr>
        <w:t>联系电话：</w:t>
      </w:r>
      <w:r>
        <w:rPr>
          <w:rFonts w:hint="eastAsia" w:ascii="仿宋" w:hAnsi="仿宋" w:eastAsia="仿宋"/>
          <w:sz w:val="28"/>
          <w:szCs w:val="28"/>
          <w:u w:val="single"/>
        </w:rPr>
        <w:t>　</w:t>
      </w:r>
      <w:r>
        <w:rPr>
          <w:rFonts w:hint="eastAsia" w:ascii="仿宋_GB2312" w:hAnsi="宋体" w:eastAsia="仿宋_GB2312" w:cs="仿宋_GB2312"/>
          <w:color w:val="000000"/>
          <w:kern w:val="0"/>
          <w:sz w:val="28"/>
          <w:szCs w:val="28"/>
          <w:u w:val="single"/>
          <w:lang w:val="zh-CN"/>
        </w:rPr>
        <w:t>0351-7011255</w:t>
      </w:r>
      <w:r>
        <w:rPr>
          <w:rFonts w:hint="eastAsia" w:ascii="仿宋_GB2312" w:hAnsi="宋体" w:eastAsia="仿宋_GB2312" w:cs="仿宋_GB2312"/>
          <w:color w:val="000000"/>
          <w:kern w:val="0"/>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ind w:firstLine="560" w:firstLineChars="200"/>
        <w:rPr>
          <w:rFonts w:ascii="仿宋" w:hAnsi="仿宋" w:eastAsia="仿宋"/>
          <w:sz w:val="28"/>
          <w:szCs w:val="28"/>
        </w:rPr>
      </w:pPr>
      <w:r>
        <w:rPr>
          <w:rFonts w:hint="eastAsia" w:ascii="仿宋" w:hAnsi="仿宋" w:eastAsia="仿宋"/>
          <w:sz w:val="28"/>
          <w:szCs w:val="28"/>
        </w:rPr>
        <w:t>1、专业人员论证意见</w:t>
      </w:r>
    </w:p>
    <w:p>
      <w:pPr>
        <w:ind w:firstLine="560" w:firstLineChars="200"/>
        <w:rPr>
          <w:rFonts w:ascii="仿宋" w:hAnsi="仿宋" w:eastAsia="仿宋"/>
          <w:sz w:val="28"/>
          <w:szCs w:val="28"/>
        </w:rPr>
      </w:pPr>
      <w:r>
        <w:rPr>
          <w:rFonts w:hint="eastAsia" w:ascii="仿宋" w:hAnsi="仿宋" w:eastAsia="仿宋"/>
          <w:sz w:val="28"/>
          <w:szCs w:val="28"/>
        </w:rPr>
        <w:t>2、采购明细</w:t>
      </w:r>
    </w:p>
    <w:p>
      <w:pPr>
        <w:rPr>
          <w:rFonts w:ascii="仿宋" w:hAnsi="仿宋" w:eastAsia="仿宋"/>
          <w:sz w:val="28"/>
          <w:szCs w:val="28"/>
        </w:rPr>
      </w:pPr>
      <w:r>
        <w:rPr>
          <w:rFonts w:ascii="仿宋" w:hAnsi="仿宋" w:eastAsia="仿宋"/>
          <w:sz w:val="28"/>
          <w:szCs w:val="28"/>
        </w:rPr>
        <w:br w:type="page"/>
      </w:r>
    </w:p>
    <w:p>
      <w:pPr>
        <w:rPr>
          <w:rFonts w:hint="eastAsia"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59264" behindDoc="0" locked="0" layoutInCell="1" allowOverlap="1">
            <wp:simplePos x="0" y="0"/>
            <wp:positionH relativeFrom="column">
              <wp:posOffset>-1668780</wp:posOffset>
            </wp:positionH>
            <wp:positionV relativeFrom="paragraph">
              <wp:posOffset>1615440</wp:posOffset>
            </wp:positionV>
            <wp:extent cx="8582025" cy="5556885"/>
            <wp:effectExtent l="0" t="0" r="5715" b="9525"/>
            <wp:wrapSquare wrapText="bothSides"/>
            <wp:docPr id="1" name="图片 1" descr="135350557898804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5350557898804065"/>
                    <pic:cNvPicPr>
                      <a:picLocks noChangeAspect="1"/>
                    </pic:cNvPicPr>
                  </pic:nvPicPr>
                  <pic:blipFill>
                    <a:blip r:embed="rId4"/>
                    <a:srcRect t="2852" r="1458"/>
                    <a:stretch>
                      <a:fillRect/>
                    </a:stretch>
                  </pic:blipFill>
                  <pic:spPr>
                    <a:xfrm rot="5400000">
                      <a:off x="0" y="0"/>
                      <a:ext cx="8582025" cy="5556885"/>
                    </a:xfrm>
                    <a:prstGeom prst="rect">
                      <a:avLst/>
                    </a:prstGeom>
                  </pic:spPr>
                </pic:pic>
              </a:graphicData>
            </a:graphic>
          </wp:anchor>
        </w:drawing>
      </w:r>
    </w:p>
    <w:p>
      <w:pPr>
        <w:rPr>
          <w:rFonts w:hint="eastAsia" w:ascii="仿宋" w:hAnsi="仿宋" w:eastAsia="仿宋"/>
          <w:sz w:val="28"/>
          <w:szCs w:val="28"/>
          <w:lang w:eastAsia="zh-CN"/>
        </w:rPr>
      </w:pPr>
      <w:r>
        <w:rPr>
          <w:rFonts w:hint="eastAsia" w:ascii="仿宋" w:hAnsi="仿宋" w:eastAsia="仿宋"/>
          <w:sz w:val="28"/>
          <w:szCs w:val="28"/>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36195</wp:posOffset>
            </wp:positionV>
            <wp:extent cx="5262245" cy="8678545"/>
            <wp:effectExtent l="0" t="0" r="14605" b="8255"/>
            <wp:wrapSquare wrapText="bothSides"/>
            <wp:docPr id="2" name="图片 2" descr="53226480331201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2264803312015017"/>
                    <pic:cNvPicPr>
                      <a:picLocks noChangeAspect="1"/>
                    </pic:cNvPicPr>
                  </pic:nvPicPr>
                  <pic:blipFill>
                    <a:blip r:embed="rId5"/>
                    <a:stretch>
                      <a:fillRect/>
                    </a:stretch>
                  </pic:blipFill>
                  <pic:spPr>
                    <a:xfrm>
                      <a:off x="0" y="0"/>
                      <a:ext cx="5262245" cy="8678545"/>
                    </a:xfrm>
                    <a:prstGeom prst="rect">
                      <a:avLst/>
                    </a:prstGeom>
                  </pic:spPr>
                </pic:pic>
              </a:graphicData>
            </a:graphic>
          </wp:anchor>
        </w:drawing>
      </w:r>
    </w:p>
    <w:p>
      <w:pPr>
        <w:rPr>
          <w:rFonts w:ascii="仿宋" w:hAnsi="仿宋" w:eastAsia="仿宋"/>
          <w:sz w:val="28"/>
          <w:szCs w:val="28"/>
        </w:rPr>
      </w:pPr>
      <w:r>
        <w:rPr>
          <w:rFonts w:hint="eastAsia" w:ascii="仿宋" w:hAnsi="仿宋" w:eastAsia="仿宋"/>
          <w:sz w:val="28"/>
          <w:szCs w:val="28"/>
          <w:lang w:eastAsia="zh-CN"/>
        </w:rPr>
        <w:drawing>
          <wp:anchor distT="0" distB="0" distL="114300" distR="114300" simplePos="0" relativeHeight="251660288" behindDoc="0" locked="0" layoutInCell="1" allowOverlap="1">
            <wp:simplePos x="0" y="0"/>
            <wp:positionH relativeFrom="column">
              <wp:posOffset>-1587500</wp:posOffset>
            </wp:positionH>
            <wp:positionV relativeFrom="paragraph">
              <wp:posOffset>1743710</wp:posOffset>
            </wp:positionV>
            <wp:extent cx="8416925" cy="5091430"/>
            <wp:effectExtent l="0" t="0" r="13970" b="3175"/>
            <wp:wrapSquare wrapText="bothSides"/>
            <wp:docPr id="3" name="图片 3" descr="724026213361388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24026213361388402"/>
                    <pic:cNvPicPr>
                      <a:picLocks noChangeAspect="1"/>
                    </pic:cNvPicPr>
                  </pic:nvPicPr>
                  <pic:blipFill>
                    <a:blip r:embed="rId6"/>
                    <a:srcRect l="741" t="4857" r="3084" b="1747"/>
                    <a:stretch>
                      <a:fillRect/>
                    </a:stretch>
                  </pic:blipFill>
                  <pic:spPr>
                    <a:xfrm rot="5400000">
                      <a:off x="0" y="0"/>
                      <a:ext cx="8416925" cy="5091430"/>
                    </a:xfrm>
                    <a:prstGeom prst="rect">
                      <a:avLst/>
                    </a:prstGeom>
                  </pic:spPr>
                </pic:pic>
              </a:graphicData>
            </a:graphic>
          </wp:anchor>
        </w:drawing>
      </w:r>
    </w:p>
    <w:p>
      <w:pPr>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pPr>
        <w:rPr>
          <w:rFonts w:ascii="仿宋" w:hAnsi="仿宋" w:eastAsia="仿宋"/>
          <w:sz w:val="28"/>
          <w:szCs w:val="28"/>
        </w:rPr>
      </w:pPr>
    </w:p>
    <w:tbl>
      <w:tblPr>
        <w:tblStyle w:val="5"/>
        <w:tblW w:w="949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2"/>
        <w:gridCol w:w="2043"/>
        <w:gridCol w:w="849"/>
        <w:gridCol w:w="884"/>
        <w:gridCol w:w="1232"/>
        <w:gridCol w:w="1142"/>
        <w:gridCol w:w="2297"/>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342" w:type="dxa"/>
            <w:vAlign w:val="center"/>
          </w:tcPr>
          <w:p>
            <w:pPr>
              <w:jc w:val="center"/>
              <w:rPr>
                <w:rStyle w:val="15"/>
                <w:rFonts w:ascii="宋体" w:hAnsi="宋体"/>
                <w:kern w:val="0"/>
                <w:sz w:val="22"/>
                <w:szCs w:val="22"/>
              </w:rPr>
            </w:pPr>
            <w:r>
              <w:rPr>
                <w:rStyle w:val="15"/>
                <w:rFonts w:ascii="宋体" w:hAnsi="宋体"/>
                <w:kern w:val="0"/>
                <w:sz w:val="22"/>
                <w:szCs w:val="22"/>
              </w:rPr>
              <w:t>序号</w:t>
            </w:r>
          </w:p>
        </w:tc>
        <w:tc>
          <w:tcPr>
            <w:tcW w:w="2043" w:type="dxa"/>
            <w:vAlign w:val="center"/>
          </w:tcPr>
          <w:p>
            <w:pPr>
              <w:jc w:val="center"/>
              <w:rPr>
                <w:rStyle w:val="15"/>
                <w:rFonts w:ascii="宋体" w:hAnsi="宋体"/>
                <w:kern w:val="0"/>
                <w:sz w:val="22"/>
                <w:szCs w:val="22"/>
              </w:rPr>
            </w:pPr>
            <w:r>
              <w:rPr>
                <w:rStyle w:val="15"/>
                <w:rFonts w:hint="eastAsia" w:ascii="宋体" w:hAnsi="宋体"/>
                <w:kern w:val="0"/>
                <w:sz w:val="22"/>
                <w:szCs w:val="22"/>
              </w:rPr>
              <w:t>货物</w:t>
            </w:r>
            <w:r>
              <w:rPr>
                <w:rStyle w:val="15"/>
                <w:rFonts w:ascii="宋体" w:hAnsi="宋体"/>
                <w:kern w:val="0"/>
                <w:sz w:val="22"/>
                <w:szCs w:val="22"/>
              </w:rPr>
              <w:t>名称</w:t>
            </w:r>
          </w:p>
        </w:tc>
        <w:tc>
          <w:tcPr>
            <w:tcW w:w="849" w:type="dxa"/>
            <w:vAlign w:val="center"/>
          </w:tcPr>
          <w:p>
            <w:pPr>
              <w:jc w:val="center"/>
              <w:rPr>
                <w:rStyle w:val="15"/>
                <w:kern w:val="0"/>
                <w:sz w:val="22"/>
                <w:szCs w:val="22"/>
              </w:rPr>
            </w:pPr>
            <w:r>
              <w:rPr>
                <w:rStyle w:val="15"/>
                <w:kern w:val="0"/>
                <w:sz w:val="22"/>
                <w:szCs w:val="22"/>
              </w:rPr>
              <w:t>数量</w:t>
            </w:r>
          </w:p>
        </w:tc>
        <w:tc>
          <w:tcPr>
            <w:tcW w:w="884" w:type="dxa"/>
            <w:vAlign w:val="center"/>
          </w:tcPr>
          <w:p>
            <w:pPr>
              <w:jc w:val="center"/>
              <w:rPr>
                <w:rStyle w:val="15"/>
                <w:rFonts w:ascii="宋体" w:hAnsi="宋体"/>
                <w:kern w:val="0"/>
                <w:sz w:val="22"/>
                <w:szCs w:val="22"/>
              </w:rPr>
            </w:pPr>
            <w:r>
              <w:rPr>
                <w:rStyle w:val="15"/>
                <w:rFonts w:ascii="宋体" w:hAnsi="宋体"/>
                <w:kern w:val="0"/>
                <w:sz w:val="22"/>
                <w:szCs w:val="22"/>
              </w:rPr>
              <w:t>单位</w:t>
            </w:r>
          </w:p>
        </w:tc>
        <w:tc>
          <w:tcPr>
            <w:tcW w:w="1232" w:type="dxa"/>
            <w:vAlign w:val="center"/>
          </w:tcPr>
          <w:p>
            <w:pPr>
              <w:jc w:val="center"/>
              <w:rPr>
                <w:rStyle w:val="15"/>
                <w:rFonts w:ascii="宋体" w:hAnsi="宋体"/>
                <w:kern w:val="0"/>
                <w:sz w:val="22"/>
                <w:szCs w:val="22"/>
              </w:rPr>
            </w:pPr>
            <w:r>
              <w:rPr>
                <w:rStyle w:val="15"/>
                <w:rFonts w:ascii="宋体" w:hAnsi="宋体"/>
                <w:kern w:val="0"/>
                <w:sz w:val="22"/>
                <w:szCs w:val="22"/>
              </w:rPr>
              <w:t>预算单价（元）</w:t>
            </w:r>
          </w:p>
        </w:tc>
        <w:tc>
          <w:tcPr>
            <w:tcW w:w="1142" w:type="dxa"/>
            <w:vAlign w:val="center"/>
          </w:tcPr>
          <w:p>
            <w:pPr>
              <w:jc w:val="center"/>
              <w:rPr>
                <w:rStyle w:val="15"/>
                <w:rFonts w:ascii="宋体" w:hAnsi="宋体"/>
                <w:kern w:val="0"/>
                <w:sz w:val="22"/>
                <w:szCs w:val="22"/>
              </w:rPr>
            </w:pPr>
            <w:r>
              <w:rPr>
                <w:rStyle w:val="15"/>
                <w:rFonts w:ascii="宋体" w:hAnsi="宋体"/>
                <w:kern w:val="0"/>
                <w:sz w:val="22"/>
                <w:szCs w:val="22"/>
              </w:rPr>
              <w:t>预算总价</w:t>
            </w:r>
            <w:r>
              <w:rPr>
                <w:rStyle w:val="15"/>
                <w:kern w:val="0"/>
                <w:sz w:val="22"/>
                <w:szCs w:val="22"/>
              </w:rPr>
              <w:t>(</w:t>
            </w:r>
            <w:r>
              <w:rPr>
                <w:rStyle w:val="15"/>
                <w:rFonts w:ascii="宋体" w:hAnsi="宋体"/>
                <w:kern w:val="0"/>
                <w:sz w:val="22"/>
                <w:szCs w:val="22"/>
              </w:rPr>
              <w:t>元</w:t>
            </w:r>
            <w:r>
              <w:rPr>
                <w:rStyle w:val="15"/>
                <w:kern w:val="0"/>
                <w:sz w:val="22"/>
                <w:szCs w:val="22"/>
              </w:rPr>
              <w:t>)</w:t>
            </w:r>
          </w:p>
        </w:tc>
        <w:tc>
          <w:tcPr>
            <w:tcW w:w="2297" w:type="dxa"/>
            <w:vAlign w:val="center"/>
          </w:tcPr>
          <w:p>
            <w:pPr>
              <w:jc w:val="center"/>
              <w:rPr>
                <w:rStyle w:val="15"/>
                <w:rFonts w:ascii="宋体" w:hAnsi="宋体"/>
                <w:color w:val="000000"/>
                <w:kern w:val="0"/>
                <w:sz w:val="22"/>
                <w:szCs w:val="22"/>
              </w:rPr>
            </w:pPr>
            <w:r>
              <w:rPr>
                <w:rStyle w:val="15"/>
                <w:rFonts w:ascii="宋体" w:hAnsi="宋体"/>
                <w:color w:val="000000"/>
                <w:kern w:val="0"/>
                <w:sz w:val="22"/>
                <w:szCs w:val="22"/>
              </w:rPr>
              <w:t>规格型号及配置技术参数</w:t>
            </w:r>
          </w:p>
        </w:tc>
        <w:tc>
          <w:tcPr>
            <w:tcW w:w="709" w:type="dxa"/>
            <w:vAlign w:val="center"/>
          </w:tcPr>
          <w:p>
            <w:pPr>
              <w:jc w:val="center"/>
              <w:rPr>
                <w:rStyle w:val="15"/>
                <w:rFonts w:ascii="宋体" w:hAnsi="宋体"/>
                <w:color w:val="000000"/>
                <w:kern w:val="0"/>
                <w:sz w:val="22"/>
                <w:szCs w:val="22"/>
              </w:rPr>
            </w:pPr>
            <w:r>
              <w:rPr>
                <w:rStyle w:val="15"/>
                <w:rFonts w:hint="eastAsia" w:ascii="宋体" w:hAnsi="宋体"/>
                <w:color w:val="000000"/>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342" w:type="dxa"/>
            <w:vAlign w:val="center"/>
          </w:tcPr>
          <w:p>
            <w:pPr>
              <w:jc w:val="center"/>
              <w:rPr>
                <w:rStyle w:val="15"/>
                <w:rFonts w:ascii="宋体" w:hAnsi="宋体"/>
                <w:kern w:val="0"/>
                <w:sz w:val="20"/>
                <w:szCs w:val="20"/>
              </w:rPr>
            </w:pPr>
            <w:r>
              <w:rPr>
                <w:rStyle w:val="15"/>
                <w:rFonts w:ascii="宋体" w:hAnsi="宋体"/>
                <w:kern w:val="0"/>
                <w:sz w:val="20"/>
                <w:szCs w:val="20"/>
              </w:rPr>
              <w:t>1</w:t>
            </w:r>
          </w:p>
        </w:tc>
        <w:tc>
          <w:tcPr>
            <w:tcW w:w="2043" w:type="dxa"/>
            <w:vAlign w:val="center"/>
          </w:tcPr>
          <w:p>
            <w:pPr>
              <w:jc w:val="left"/>
              <w:rPr>
                <w:rStyle w:val="15"/>
                <w:rFonts w:hint="default" w:ascii="宋体" w:hAnsi="宋体" w:eastAsia="宋体"/>
                <w:kern w:val="0"/>
                <w:sz w:val="20"/>
                <w:szCs w:val="20"/>
                <w:lang w:val="en-US" w:eastAsia="zh-CN"/>
              </w:rPr>
            </w:pPr>
            <w:r>
              <w:rPr>
                <w:rStyle w:val="15"/>
                <w:rFonts w:hint="eastAsia" w:ascii="宋体" w:hAnsi="宋体"/>
                <w:kern w:val="0"/>
                <w:sz w:val="20"/>
                <w:szCs w:val="20"/>
                <w:lang w:val="en-US" w:eastAsia="zh-CN"/>
              </w:rPr>
              <w:t>Taylor &amp; Francis哲学类电子书数据库</w:t>
            </w:r>
          </w:p>
        </w:tc>
        <w:tc>
          <w:tcPr>
            <w:tcW w:w="849" w:type="dxa"/>
            <w:vAlign w:val="center"/>
          </w:tcPr>
          <w:p>
            <w:pPr>
              <w:jc w:val="center"/>
              <w:rPr>
                <w:rStyle w:val="15"/>
                <w:rFonts w:hint="default" w:ascii="宋体" w:hAnsi="宋体" w:eastAsia="宋体"/>
                <w:kern w:val="0"/>
                <w:sz w:val="20"/>
                <w:szCs w:val="20"/>
                <w:lang w:val="en-US" w:eastAsia="zh-CN"/>
              </w:rPr>
            </w:pPr>
            <w:r>
              <w:rPr>
                <w:rStyle w:val="15"/>
                <w:rFonts w:hint="eastAsia" w:ascii="宋体" w:hAnsi="宋体"/>
                <w:kern w:val="0"/>
                <w:sz w:val="20"/>
                <w:szCs w:val="20"/>
                <w:lang w:val="en-US" w:eastAsia="zh-CN"/>
              </w:rPr>
              <w:t>1</w:t>
            </w:r>
          </w:p>
        </w:tc>
        <w:tc>
          <w:tcPr>
            <w:tcW w:w="884" w:type="dxa"/>
            <w:noWrap/>
            <w:vAlign w:val="center"/>
          </w:tcPr>
          <w:p>
            <w:pPr>
              <w:jc w:val="center"/>
              <w:rPr>
                <w:rStyle w:val="15"/>
                <w:rFonts w:hint="eastAsia" w:ascii="宋体" w:hAnsi="宋体" w:eastAsia="宋体"/>
                <w:color w:val="000000"/>
                <w:kern w:val="0"/>
                <w:sz w:val="20"/>
                <w:szCs w:val="20"/>
                <w:lang w:val="en-US" w:eastAsia="zh-CN"/>
              </w:rPr>
            </w:pPr>
            <w:r>
              <w:rPr>
                <w:rStyle w:val="15"/>
                <w:rFonts w:hint="eastAsia" w:ascii="宋体" w:hAnsi="宋体"/>
                <w:color w:val="000000"/>
                <w:kern w:val="0"/>
                <w:sz w:val="20"/>
                <w:szCs w:val="20"/>
                <w:lang w:val="en-US" w:eastAsia="zh-CN"/>
              </w:rPr>
              <w:t>个</w:t>
            </w:r>
          </w:p>
        </w:tc>
        <w:tc>
          <w:tcPr>
            <w:tcW w:w="1232" w:type="dxa"/>
            <w:vAlign w:val="center"/>
          </w:tcPr>
          <w:p>
            <w:pPr>
              <w:jc w:val="center"/>
              <w:rPr>
                <w:rStyle w:val="15"/>
                <w:rFonts w:hint="default" w:ascii="宋体" w:hAnsi="宋体" w:eastAsia="宋体"/>
                <w:kern w:val="0"/>
                <w:sz w:val="20"/>
                <w:szCs w:val="20"/>
                <w:lang w:val="en-US" w:eastAsia="zh-CN"/>
              </w:rPr>
            </w:pPr>
            <w:r>
              <w:rPr>
                <w:rStyle w:val="15"/>
                <w:rFonts w:hint="eastAsia" w:ascii="宋体" w:hAnsi="宋体"/>
                <w:kern w:val="0"/>
                <w:sz w:val="20"/>
                <w:szCs w:val="20"/>
                <w:lang w:val="en-US" w:eastAsia="zh-CN"/>
              </w:rPr>
              <w:t>2030000</w:t>
            </w:r>
          </w:p>
        </w:tc>
        <w:tc>
          <w:tcPr>
            <w:tcW w:w="1142" w:type="dxa"/>
            <w:noWrap/>
            <w:vAlign w:val="center"/>
          </w:tcPr>
          <w:p>
            <w:pPr>
              <w:jc w:val="center"/>
              <w:rPr>
                <w:rStyle w:val="15"/>
                <w:rFonts w:hint="default" w:ascii="宋体" w:hAnsi="宋体" w:eastAsia="宋体"/>
                <w:color w:val="000000"/>
                <w:kern w:val="0"/>
                <w:sz w:val="20"/>
                <w:szCs w:val="20"/>
                <w:lang w:val="en-US" w:eastAsia="zh-CN"/>
              </w:rPr>
            </w:pPr>
            <w:r>
              <w:rPr>
                <w:rStyle w:val="15"/>
                <w:rFonts w:hint="eastAsia" w:ascii="宋体" w:hAnsi="宋体"/>
                <w:color w:val="000000"/>
                <w:kern w:val="0"/>
                <w:sz w:val="20"/>
                <w:szCs w:val="20"/>
                <w:lang w:val="en-US" w:eastAsia="zh-CN"/>
              </w:rPr>
              <w:t>2030000</w:t>
            </w:r>
          </w:p>
        </w:tc>
        <w:tc>
          <w:tcPr>
            <w:tcW w:w="2297" w:type="dxa"/>
            <w:vAlign w:val="center"/>
          </w:tcPr>
          <w:p>
            <w:pPr>
              <w:keepNext w:val="0"/>
              <w:keepLines w:val="0"/>
              <w:widowControl/>
              <w:suppressLineNumbers w:val="0"/>
              <w:jc w:val="center"/>
              <w:textAlignment w:val="center"/>
              <w:rPr>
                <w:rStyle w:val="15"/>
                <w:rFonts w:ascii="宋体" w:hAnsi="宋体"/>
                <w:kern w:val="0"/>
                <w:sz w:val="20"/>
                <w:szCs w:val="20"/>
              </w:rPr>
            </w:pPr>
            <w:r>
              <w:rPr>
                <w:rFonts w:hint="eastAsia" w:ascii="宋体" w:hAnsi="宋体" w:eastAsia="宋体" w:cs="宋体"/>
                <w:i w:val="0"/>
                <w:iCs w:val="0"/>
                <w:color w:val="000000"/>
                <w:kern w:val="0"/>
                <w:sz w:val="22"/>
                <w:szCs w:val="22"/>
                <w:u w:val="none"/>
                <w:lang w:val="en-US" w:eastAsia="zh-CN" w:bidi="ar"/>
              </w:rPr>
              <w:t>1、Taylor &amp; Francis 出版社提供的5200余种涉及欧陆哲学、科技哲学、认识论、伦理学、马克思主义哲学、西方哲学、女性主义哲学、 哲学史 、形而上学、现象学、思维哲学 、宗教哲学及政治哲学等高质量的学术电子书；2、访问方式：网址，www.taylorfrancis.com，订购的电子书拥有永久访问权，IP范围内合理下载，无DRM（数字版权管理）的限制；3、订购T&amp;F电子书数据库的用户，不仅可以访问订购电子书的内容，还可以在平台上免费访问近千余种OA（开放获取）电子书；4、全校IP范围访问，无并发用户限制。</w:t>
            </w:r>
          </w:p>
        </w:tc>
        <w:tc>
          <w:tcPr>
            <w:tcW w:w="709" w:type="dxa"/>
            <w:noWrap/>
            <w:vAlign w:val="center"/>
          </w:tcPr>
          <w:p>
            <w:pPr>
              <w:keepNext w:val="0"/>
              <w:keepLines w:val="0"/>
              <w:widowControl/>
              <w:suppressLineNumbers w:val="0"/>
              <w:jc w:val="center"/>
              <w:textAlignment w:val="center"/>
              <w:rPr>
                <w:rStyle w:val="15"/>
                <w:rFonts w:hint="eastAsia" w:ascii="Arial Unicode MS" w:hAnsi="Arial Unicode MS" w:eastAsia="宋体"/>
                <w:color w:val="000000"/>
                <w:kern w:val="0"/>
                <w:sz w:val="20"/>
                <w:szCs w:val="20"/>
                <w:lang w:eastAsia="zh-CN"/>
              </w:rPr>
            </w:pPr>
            <w:r>
              <w:rPr>
                <w:rFonts w:hint="eastAsia" w:ascii="宋体" w:hAnsi="宋体" w:eastAsia="宋体" w:cs="宋体"/>
                <w:i w:val="0"/>
                <w:iCs w:val="0"/>
                <w:color w:val="000000"/>
                <w:kern w:val="0"/>
                <w:sz w:val="22"/>
                <w:szCs w:val="22"/>
                <w:u w:val="none"/>
                <w:lang w:val="en-US" w:eastAsia="zh-CN" w:bidi="ar"/>
              </w:rPr>
              <w:t>进口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2385" w:type="dxa"/>
            <w:gridSpan w:val="2"/>
            <w:vAlign w:val="center"/>
          </w:tcPr>
          <w:p>
            <w:pPr>
              <w:jc w:val="center"/>
              <w:rPr>
                <w:rStyle w:val="15"/>
                <w:rFonts w:ascii="宋体" w:hAnsi="宋体" w:cs="宋体"/>
                <w:bCs/>
                <w:kern w:val="0"/>
                <w:sz w:val="22"/>
                <w:szCs w:val="22"/>
              </w:rPr>
            </w:pPr>
            <w:r>
              <w:rPr>
                <w:rStyle w:val="15"/>
                <w:rFonts w:ascii="宋体" w:hAnsi="宋体" w:cs="宋体"/>
                <w:kern w:val="0"/>
                <w:sz w:val="22"/>
                <w:szCs w:val="22"/>
              </w:rPr>
              <w:t>合计</w:t>
            </w:r>
          </w:p>
        </w:tc>
        <w:tc>
          <w:tcPr>
            <w:tcW w:w="849" w:type="dxa"/>
            <w:vAlign w:val="center"/>
          </w:tcPr>
          <w:p>
            <w:pPr>
              <w:jc w:val="center"/>
              <w:rPr>
                <w:rStyle w:val="15"/>
                <w:rFonts w:ascii="宋体" w:hAnsi="宋体"/>
                <w:kern w:val="0"/>
                <w:sz w:val="22"/>
                <w:szCs w:val="22"/>
              </w:rPr>
            </w:pPr>
            <w:r>
              <w:rPr>
                <w:rStyle w:val="15"/>
                <w:rFonts w:ascii="宋体" w:hAnsi="宋体"/>
                <w:kern w:val="0"/>
                <w:sz w:val="22"/>
                <w:szCs w:val="22"/>
              </w:rPr>
              <w:t>　</w:t>
            </w:r>
          </w:p>
        </w:tc>
        <w:tc>
          <w:tcPr>
            <w:tcW w:w="884" w:type="dxa"/>
            <w:vAlign w:val="center"/>
          </w:tcPr>
          <w:p>
            <w:pPr>
              <w:jc w:val="center"/>
              <w:rPr>
                <w:rStyle w:val="15"/>
                <w:rFonts w:ascii="宋体" w:hAnsi="宋体"/>
                <w:kern w:val="0"/>
                <w:sz w:val="22"/>
                <w:szCs w:val="22"/>
              </w:rPr>
            </w:pPr>
            <w:r>
              <w:rPr>
                <w:rStyle w:val="15"/>
                <w:rFonts w:ascii="宋体" w:hAnsi="宋体"/>
                <w:kern w:val="0"/>
                <w:sz w:val="22"/>
                <w:szCs w:val="22"/>
              </w:rPr>
              <w:t>　</w:t>
            </w:r>
          </w:p>
        </w:tc>
        <w:tc>
          <w:tcPr>
            <w:tcW w:w="1232" w:type="dxa"/>
            <w:vAlign w:val="center"/>
          </w:tcPr>
          <w:p>
            <w:pPr>
              <w:jc w:val="center"/>
              <w:rPr>
                <w:rStyle w:val="15"/>
                <w:rFonts w:ascii="宋体" w:hAnsi="宋体"/>
                <w:kern w:val="0"/>
                <w:sz w:val="22"/>
                <w:szCs w:val="22"/>
              </w:rPr>
            </w:pPr>
            <w:r>
              <w:rPr>
                <w:rStyle w:val="15"/>
                <w:rFonts w:ascii="宋体" w:hAnsi="宋体"/>
                <w:kern w:val="0"/>
                <w:sz w:val="22"/>
                <w:szCs w:val="22"/>
              </w:rPr>
              <w:t>　</w:t>
            </w:r>
          </w:p>
        </w:tc>
        <w:tc>
          <w:tcPr>
            <w:tcW w:w="1142" w:type="dxa"/>
            <w:vAlign w:val="center"/>
          </w:tcPr>
          <w:p>
            <w:pPr>
              <w:jc w:val="center"/>
              <w:rPr>
                <w:rStyle w:val="15"/>
                <w:rFonts w:hint="default" w:ascii="宋体" w:hAnsi="宋体"/>
                <w:kern w:val="0"/>
                <w:sz w:val="20"/>
                <w:szCs w:val="20"/>
                <w:lang w:val="en-US"/>
              </w:rPr>
            </w:pPr>
            <w:r>
              <w:rPr>
                <w:rStyle w:val="15"/>
                <w:rFonts w:hint="eastAsia" w:ascii="宋体" w:hAnsi="宋体"/>
                <w:kern w:val="0"/>
                <w:sz w:val="20"/>
                <w:szCs w:val="20"/>
                <w:lang w:val="en-US" w:eastAsia="zh-CN"/>
              </w:rPr>
              <w:t>2030000</w:t>
            </w:r>
          </w:p>
        </w:tc>
        <w:tc>
          <w:tcPr>
            <w:tcW w:w="2297" w:type="dxa"/>
            <w:vAlign w:val="center"/>
          </w:tcPr>
          <w:p>
            <w:pPr>
              <w:jc w:val="center"/>
              <w:rPr>
                <w:rStyle w:val="15"/>
                <w:rFonts w:ascii="宋体" w:hAnsi="宋体"/>
                <w:kern w:val="0"/>
                <w:sz w:val="22"/>
                <w:szCs w:val="22"/>
              </w:rPr>
            </w:pPr>
            <w:r>
              <w:rPr>
                <w:rStyle w:val="15"/>
                <w:rFonts w:ascii="宋体" w:hAnsi="宋体"/>
                <w:kern w:val="0"/>
                <w:sz w:val="22"/>
                <w:szCs w:val="22"/>
              </w:rPr>
              <w:t>　</w:t>
            </w:r>
          </w:p>
        </w:tc>
        <w:tc>
          <w:tcPr>
            <w:tcW w:w="709" w:type="dxa"/>
            <w:vAlign w:val="center"/>
          </w:tcPr>
          <w:p>
            <w:pPr>
              <w:jc w:val="center"/>
              <w:rPr>
                <w:rStyle w:val="15"/>
                <w:rFonts w:ascii="宋体" w:hAnsi="宋体"/>
                <w:kern w:val="0"/>
                <w:sz w:val="22"/>
                <w:szCs w:val="22"/>
              </w:rPr>
            </w:pPr>
            <w:r>
              <w:rPr>
                <w:rStyle w:val="15"/>
                <w:rFonts w:ascii="宋体" w:hAnsi="宋体"/>
                <w:kern w:val="0"/>
                <w:sz w:val="22"/>
                <w:szCs w:val="22"/>
              </w:rPr>
              <w:t>　</w:t>
            </w:r>
          </w:p>
        </w:tc>
      </w:tr>
    </w:tbl>
    <w:p>
      <w:pPr>
        <w:widowControl/>
        <w:jc w:val="left"/>
        <w:rPr>
          <w:rFonts w:hint="eastAsia" w:ascii="仿宋" w:hAnsi="仿宋" w:eastAsia="仿宋"/>
          <w:sz w:val="28"/>
          <w:szCs w:val="28"/>
        </w:rPr>
      </w:pPr>
    </w:p>
    <w:p>
      <w:pPr>
        <w:rPr>
          <w:rFonts w:hint="eastAsia" w:ascii="黑体" w:hAnsi="黑体"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D3"/>
    <w:rsid w:val="000D0E59"/>
    <w:rsid w:val="001D3FC2"/>
    <w:rsid w:val="002E2085"/>
    <w:rsid w:val="00313636"/>
    <w:rsid w:val="00501C29"/>
    <w:rsid w:val="00532E90"/>
    <w:rsid w:val="00562669"/>
    <w:rsid w:val="0058337C"/>
    <w:rsid w:val="005A0639"/>
    <w:rsid w:val="005C49D3"/>
    <w:rsid w:val="00743796"/>
    <w:rsid w:val="00B53176"/>
    <w:rsid w:val="00D32C0C"/>
    <w:rsid w:val="00DD322E"/>
    <w:rsid w:val="00FA4A19"/>
    <w:rsid w:val="00FD17FA"/>
    <w:rsid w:val="01211334"/>
    <w:rsid w:val="012C5630"/>
    <w:rsid w:val="012F73F7"/>
    <w:rsid w:val="01BC2368"/>
    <w:rsid w:val="01D863CF"/>
    <w:rsid w:val="02A87440"/>
    <w:rsid w:val="07760434"/>
    <w:rsid w:val="09ED3EB8"/>
    <w:rsid w:val="0AC0747E"/>
    <w:rsid w:val="0B7A5836"/>
    <w:rsid w:val="0D0F2988"/>
    <w:rsid w:val="0D835B61"/>
    <w:rsid w:val="13A06E4E"/>
    <w:rsid w:val="13BC747A"/>
    <w:rsid w:val="147510FD"/>
    <w:rsid w:val="14B35334"/>
    <w:rsid w:val="154943EA"/>
    <w:rsid w:val="165C4325"/>
    <w:rsid w:val="17F47EE3"/>
    <w:rsid w:val="183A43C7"/>
    <w:rsid w:val="18BF2933"/>
    <w:rsid w:val="18CA0757"/>
    <w:rsid w:val="1B1D69BD"/>
    <w:rsid w:val="1B2D58D4"/>
    <w:rsid w:val="1C320FFF"/>
    <w:rsid w:val="1E4E3685"/>
    <w:rsid w:val="1E853E44"/>
    <w:rsid w:val="1EFF0320"/>
    <w:rsid w:val="1F9E3602"/>
    <w:rsid w:val="20A57948"/>
    <w:rsid w:val="20AA6442"/>
    <w:rsid w:val="20FD65A7"/>
    <w:rsid w:val="223428D5"/>
    <w:rsid w:val="23556DD3"/>
    <w:rsid w:val="28E362E4"/>
    <w:rsid w:val="2B607509"/>
    <w:rsid w:val="2C7C6433"/>
    <w:rsid w:val="2F5024C1"/>
    <w:rsid w:val="33AB7056"/>
    <w:rsid w:val="33CB4BC1"/>
    <w:rsid w:val="34E05F26"/>
    <w:rsid w:val="34E745A6"/>
    <w:rsid w:val="35B0075F"/>
    <w:rsid w:val="36481F31"/>
    <w:rsid w:val="388422F8"/>
    <w:rsid w:val="388430DC"/>
    <w:rsid w:val="3AAE0502"/>
    <w:rsid w:val="41385ED7"/>
    <w:rsid w:val="41682B01"/>
    <w:rsid w:val="43507C89"/>
    <w:rsid w:val="45824D9C"/>
    <w:rsid w:val="47AB29E4"/>
    <w:rsid w:val="49DB26F5"/>
    <w:rsid w:val="4B236837"/>
    <w:rsid w:val="4E106F73"/>
    <w:rsid w:val="4E947671"/>
    <w:rsid w:val="500F5A63"/>
    <w:rsid w:val="50281D24"/>
    <w:rsid w:val="537022E8"/>
    <w:rsid w:val="556575EC"/>
    <w:rsid w:val="565078D8"/>
    <w:rsid w:val="57367D94"/>
    <w:rsid w:val="58BE40DC"/>
    <w:rsid w:val="5A53096C"/>
    <w:rsid w:val="5E7247D2"/>
    <w:rsid w:val="5EC255F4"/>
    <w:rsid w:val="5FCC7444"/>
    <w:rsid w:val="606348F2"/>
    <w:rsid w:val="619E2E19"/>
    <w:rsid w:val="63E62C51"/>
    <w:rsid w:val="644E76E6"/>
    <w:rsid w:val="6A7B16B0"/>
    <w:rsid w:val="6CD8311B"/>
    <w:rsid w:val="6E1610C8"/>
    <w:rsid w:val="6F98454C"/>
    <w:rsid w:val="714C59D2"/>
    <w:rsid w:val="728718E3"/>
    <w:rsid w:val="761D3F6D"/>
    <w:rsid w:val="7B0C119C"/>
    <w:rsid w:val="7CBA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rFonts w:cs="Times New Roman"/>
      <w:b/>
      <w:bCs/>
    </w:rPr>
  </w:style>
  <w:style w:type="character" w:styleId="9">
    <w:name w:val="FollowedHyperlink"/>
    <w:qFormat/>
    <w:uiPriority w:val="0"/>
    <w:rPr>
      <w:color w:val="800080"/>
      <w:u w:val="single"/>
    </w:rPr>
  </w:style>
  <w:style w:type="character" w:styleId="10">
    <w:name w:val="Hyperlink"/>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7"/>
    <w:link w:val="4"/>
    <w:qFormat/>
    <w:uiPriority w:val="0"/>
    <w:rPr>
      <w:kern w:val="2"/>
      <w:sz w:val="18"/>
      <w:szCs w:val="18"/>
    </w:rPr>
  </w:style>
  <w:style w:type="character" w:customStyle="1" w:styleId="13">
    <w:name w:val="页脚 字符"/>
    <w:basedOn w:val="7"/>
    <w:link w:val="3"/>
    <w:qFormat/>
    <w:uiPriority w:val="0"/>
    <w:rPr>
      <w:kern w:val="2"/>
      <w:sz w:val="18"/>
      <w:szCs w:val="18"/>
    </w:rPr>
  </w:style>
  <w:style w:type="paragraph" w:customStyle="1" w:styleId="14">
    <w:name w:val="Heading2"/>
    <w:basedOn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15">
    <w:name w:val="NormalCharacter"/>
    <w:semiHidden/>
    <w:qFormat/>
    <w:uiPriority w:val="0"/>
  </w:style>
  <w:style w:type="table" w:customStyle="1" w:styleId="16">
    <w:name w:val="TableNormal"/>
    <w:semiHidden/>
    <w:qFormat/>
    <w:uiPriority w:val="0"/>
    <w:rPr>
      <w:rFonts w:cstheme="minorBidi"/>
    </w:rPr>
    <w:tblPr>
      <w:tblCellMar>
        <w:top w:w="0" w:type="dxa"/>
        <w:left w:w="0" w:type="dxa"/>
        <w:bottom w:w="0" w:type="dxa"/>
        <w:right w:w="0" w:type="dxa"/>
      </w:tblCellMar>
    </w:tblPr>
  </w:style>
  <w:style w:type="paragraph" w:customStyle="1" w:styleId="17">
    <w:name w:val="HtmlNormal"/>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character" w:customStyle="1" w:styleId="18">
    <w:name w:val="PageNumber"/>
    <w:basedOn w:val="15"/>
    <w:qFormat/>
    <w:uiPriority w:val="0"/>
  </w:style>
  <w:style w:type="paragraph" w:customStyle="1" w:styleId="19">
    <w:name w:val="UserStyle_0"/>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paragraph" w:customStyle="1" w:styleId="20">
    <w:name w:val="Acetate"/>
    <w:basedOn w:val="1"/>
    <w:semiHidden/>
    <w:uiPriority w:val="0"/>
    <w:pPr>
      <w:widowControl/>
      <w:textAlignment w:val="baseline"/>
    </w:pPr>
    <w:rPr>
      <w:rFonts w:cstheme="minorBidi"/>
      <w:sz w:val="18"/>
      <w:szCs w:val="18"/>
    </w:rPr>
  </w:style>
  <w:style w:type="table" w:customStyle="1" w:styleId="21">
    <w:name w:val="TableGrid"/>
    <w:basedOn w:val="16"/>
    <w:qFormat/>
    <w:uiPriority w:val="0"/>
    <w:tblPr>
      <w:tblCellMar>
        <w:top w:w="0" w:type="dxa"/>
        <w:left w:w="0" w:type="dxa"/>
        <w:bottom w:w="0" w:type="dxa"/>
        <w:right w:w="0" w:type="dxa"/>
      </w:tblCellMar>
    </w:tblPr>
  </w:style>
  <w:style w:type="table" w:customStyle="1" w:styleId="22">
    <w:name w:val="TableElegant"/>
    <w:basedOn w:val="16"/>
    <w:qFormat/>
    <w:uiPriority w:val="0"/>
    <w:tblPr>
      <w:tblCellMar>
        <w:top w:w="0" w:type="dxa"/>
        <w:left w:w="0" w:type="dxa"/>
        <w:bottom w:w="0" w:type="dxa"/>
        <w:right w:w="0" w:type="dxa"/>
      </w:tblCellMar>
    </w:tblPr>
  </w:style>
  <w:style w:type="table" w:customStyle="1" w:styleId="23">
    <w:name w:val="TableClassic1"/>
    <w:basedOn w:val="16"/>
    <w:qFormat/>
    <w:uiPriority w:val="0"/>
    <w:tblPr>
      <w:tblCellMar>
        <w:top w:w="0" w:type="dxa"/>
        <w:left w:w="0" w:type="dxa"/>
        <w:bottom w:w="0" w:type="dxa"/>
        <w:right w:w="0" w:type="dxa"/>
      </w:tblCellMar>
    </w:tblPr>
  </w:style>
  <w:style w:type="table" w:customStyle="1" w:styleId="24">
    <w:name w:val="TableSubtle1"/>
    <w:basedOn w:val="16"/>
    <w:qFormat/>
    <w:uiPriority w:val="0"/>
    <w:tblPr>
      <w:tblCellMar>
        <w:top w:w="0" w:type="dxa"/>
        <w:left w:w="0" w:type="dxa"/>
        <w:bottom w:w="0" w:type="dxa"/>
        <w:right w:w="0" w:type="dxa"/>
      </w:tblCellMar>
    </w:tblPr>
  </w:style>
  <w:style w:type="table" w:customStyle="1" w:styleId="25">
    <w:name w:val="TableTheme"/>
    <w:basedOn w:val="16"/>
    <w:qFormat/>
    <w:uiPriority w:val="0"/>
    <w:tblPr>
      <w:tblCellMar>
        <w:top w:w="0" w:type="dxa"/>
        <w:left w:w="0" w:type="dxa"/>
        <w:bottom w:w="0" w:type="dxa"/>
        <w:right w:w="0" w:type="dxa"/>
      </w:tblCellMar>
    </w:tblPr>
  </w:style>
  <w:style w:type="table" w:customStyle="1" w:styleId="26">
    <w:name w:val="TableColorful1"/>
    <w:basedOn w:val="16"/>
    <w:qFormat/>
    <w:uiPriority w:val="0"/>
    <w:tblPr>
      <w:tblCellMar>
        <w:top w:w="0" w:type="dxa"/>
        <w:left w:w="0" w:type="dxa"/>
        <w:bottom w:w="0" w:type="dxa"/>
        <w:right w:w="0" w:type="dxa"/>
      </w:tblCellMar>
    </w:tblPr>
  </w:style>
  <w:style w:type="table" w:customStyle="1" w:styleId="27">
    <w:name w:val="TableColorful2"/>
    <w:basedOn w:val="16"/>
    <w:qFormat/>
    <w:uiPriority w:val="0"/>
    <w:tblPr>
      <w:tblCellMar>
        <w:top w:w="0" w:type="dxa"/>
        <w:left w:w="0" w:type="dxa"/>
        <w:bottom w:w="0" w:type="dxa"/>
        <w:right w:w="0" w:type="dxa"/>
      </w:tblCellMar>
    </w:tblPr>
  </w:style>
  <w:style w:type="table" w:customStyle="1" w:styleId="28">
    <w:name w:val="TableColorful3"/>
    <w:basedOn w:val="16"/>
    <w:qFormat/>
    <w:uiPriority w:val="0"/>
    <w:tblPr>
      <w:tblCellMar>
        <w:top w:w="0" w:type="dxa"/>
        <w:left w:w="0" w:type="dxa"/>
        <w:bottom w:w="0" w:type="dxa"/>
        <w:right w:w="0" w:type="dxa"/>
      </w:tblCellMar>
    </w:tblPr>
  </w:style>
  <w:style w:type="paragraph" w:customStyle="1" w:styleId="29">
    <w:name w:val="UserStyle_1"/>
    <w:basedOn w:val="1"/>
    <w:qFormat/>
    <w:uiPriority w:val="0"/>
    <w:pPr>
      <w:widowControl/>
      <w:spacing w:before="100" w:beforeAutospacing="1" w:after="100" w:afterAutospacing="1"/>
      <w:jc w:val="left"/>
      <w:textAlignment w:val="baseline"/>
    </w:pPr>
    <w:rPr>
      <w:rFonts w:ascii="宋体" w:hAnsi="宋体" w:cstheme="minorBidi"/>
      <w:kern w:val="0"/>
      <w:sz w:val="24"/>
      <w:szCs w:val="24"/>
    </w:rPr>
  </w:style>
  <w:style w:type="paragraph" w:customStyle="1" w:styleId="30">
    <w:name w:val="UserStyle_2"/>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1">
    <w:name w:val="UserStyle_3"/>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32">
    <w:name w:val="UserStyle_4"/>
    <w:basedOn w:val="1"/>
    <w:qFormat/>
    <w:uiPriority w:val="0"/>
    <w:pPr>
      <w:widowControl/>
      <w:spacing w:before="100" w:beforeAutospacing="1" w:after="100" w:afterAutospacing="1"/>
      <w:jc w:val="left"/>
      <w:textAlignment w:val="baseline"/>
    </w:pPr>
    <w:rPr>
      <w:rFonts w:cstheme="minorBidi"/>
      <w:kern w:val="0"/>
      <w:sz w:val="22"/>
      <w:szCs w:val="22"/>
    </w:rPr>
  </w:style>
  <w:style w:type="paragraph" w:customStyle="1" w:styleId="33">
    <w:name w:val="UserStyle_5"/>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4">
    <w:name w:val="UserStyle_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35">
    <w:name w:val="UserStyle_7"/>
    <w:basedOn w:val="1"/>
    <w:qFormat/>
    <w:uiPriority w:val="0"/>
    <w:pPr>
      <w:widowControl/>
      <w:spacing w:before="100" w:beforeAutospacing="1" w:after="100" w:afterAutospacing="1"/>
      <w:jc w:val="center"/>
      <w:textAlignment w:val="baseline"/>
    </w:pPr>
    <w:rPr>
      <w:rFonts w:ascii="宋体" w:hAnsi="宋体" w:cstheme="minorBidi"/>
      <w:kern w:val="0"/>
      <w:sz w:val="22"/>
      <w:szCs w:val="22"/>
    </w:rPr>
  </w:style>
  <w:style w:type="paragraph" w:customStyle="1" w:styleId="36">
    <w:name w:val="UserStyle_8"/>
    <w:basedOn w:val="1"/>
    <w:qFormat/>
    <w:uiPriority w:val="0"/>
    <w:pPr>
      <w:widowControl/>
      <w:spacing w:before="100" w:beforeAutospacing="1" w:after="100" w:afterAutospacing="1"/>
      <w:jc w:val="left"/>
      <w:textAlignment w:val="bottom"/>
    </w:pPr>
    <w:rPr>
      <w:rFonts w:ascii="宋体" w:hAnsi="宋体" w:cstheme="minorBidi"/>
      <w:kern w:val="0"/>
      <w:sz w:val="22"/>
      <w:szCs w:val="22"/>
    </w:rPr>
  </w:style>
  <w:style w:type="paragraph" w:customStyle="1" w:styleId="37">
    <w:name w:val="UserStyle_9"/>
    <w:basedOn w:val="1"/>
    <w:qFormat/>
    <w:uiPriority w:val="0"/>
    <w:pPr>
      <w:widowControl/>
      <w:pBdr>
        <w:bottom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38">
    <w:name w:val="UserStyle_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39">
    <w:name w:val="UserStyle_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0">
    <w:name w:val="UserStyle_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heme="minorBidi"/>
      <w:kern w:val="0"/>
      <w:sz w:val="22"/>
      <w:szCs w:val="22"/>
    </w:rPr>
  </w:style>
  <w:style w:type="paragraph" w:customStyle="1" w:styleId="41">
    <w:name w:val="UserStyle_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2">
    <w:name w:val="UserStyle_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2"/>
      <w:szCs w:val="22"/>
    </w:rPr>
  </w:style>
  <w:style w:type="paragraph" w:customStyle="1" w:styleId="43">
    <w:name w:val="UserStyle_15"/>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44">
    <w:name w:val="UserStyle_1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45">
    <w:name w:val="UserStyle_1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46">
    <w:name w:val="UserStyle_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7">
    <w:name w:val="UserStyle_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2"/>
      <w:szCs w:val="22"/>
    </w:rPr>
  </w:style>
  <w:style w:type="paragraph" w:customStyle="1" w:styleId="48">
    <w:name w:val="UserStyle_2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49">
    <w:name w:val="UserStyle_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0">
    <w:name w:val="UserStyle_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51">
    <w:name w:val="UserStyle_2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2">
    <w:name w:val="UserStyle_2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3">
    <w:name w:val="UserStyle_2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54">
    <w:name w:val="UserStyle_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color w:val="000000"/>
      <w:kern w:val="0"/>
      <w:sz w:val="20"/>
      <w:szCs w:val="20"/>
    </w:rPr>
  </w:style>
  <w:style w:type="paragraph" w:customStyle="1" w:styleId="55">
    <w:name w:val="UserStyle_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color w:val="000000"/>
      <w:kern w:val="0"/>
      <w:sz w:val="20"/>
      <w:szCs w:val="20"/>
    </w:rPr>
  </w:style>
  <w:style w:type="paragraph" w:customStyle="1" w:styleId="56">
    <w:name w:val="UserStyle_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7">
    <w:name w:val="UserStyle_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58">
    <w:name w:val="UserStyle_3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59">
    <w:name w:val="UserStyle_31"/>
    <w:basedOn w:val="1"/>
    <w:qFormat/>
    <w:uiPriority w:val="0"/>
    <w:pPr>
      <w:widowControl/>
      <w:spacing w:before="100" w:beforeAutospacing="1" w:after="100" w:afterAutospacing="1"/>
      <w:jc w:val="center"/>
      <w:textAlignment w:val="baseline"/>
    </w:pPr>
    <w:rPr>
      <w:rFonts w:ascii="宋体" w:hAnsi="宋体" w:cstheme="minorBidi"/>
      <w:kern w:val="0"/>
      <w:sz w:val="22"/>
      <w:szCs w:val="22"/>
    </w:rPr>
  </w:style>
  <w:style w:type="paragraph" w:customStyle="1" w:styleId="60">
    <w:name w:val="UserStyle_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1">
    <w:name w:val="UserStyle_3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2">
    <w:name w:val="UserStyle_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cstheme="minorBidi"/>
      <w:color w:val="000000"/>
      <w:kern w:val="0"/>
      <w:sz w:val="20"/>
      <w:szCs w:val="20"/>
    </w:rPr>
  </w:style>
  <w:style w:type="paragraph" w:customStyle="1" w:styleId="63">
    <w:name w:val="UserStyle_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cstheme="minorBidi"/>
      <w:color w:val="000000"/>
      <w:kern w:val="0"/>
      <w:sz w:val="20"/>
      <w:szCs w:val="20"/>
    </w:rPr>
  </w:style>
  <w:style w:type="paragraph" w:customStyle="1" w:styleId="64">
    <w:name w:val="UserStyle_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65">
    <w:name w:val="UserStyle_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66">
    <w:name w:val="UserStyle_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18"/>
      <w:szCs w:val="18"/>
    </w:rPr>
  </w:style>
  <w:style w:type="paragraph" w:customStyle="1" w:styleId="67">
    <w:name w:val="UserStyle_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0"/>
      <w:szCs w:val="20"/>
    </w:rPr>
  </w:style>
  <w:style w:type="paragraph" w:customStyle="1" w:styleId="68">
    <w:name w:val="UserStyle_4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color w:val="000000"/>
      <w:kern w:val="0"/>
      <w:sz w:val="20"/>
      <w:szCs w:val="20"/>
    </w:rPr>
  </w:style>
  <w:style w:type="paragraph" w:customStyle="1" w:styleId="69">
    <w:name w:val="UserStyle_4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theme="minorBidi"/>
      <w:kern w:val="0"/>
      <w:sz w:val="20"/>
      <w:szCs w:val="20"/>
    </w:rPr>
  </w:style>
  <w:style w:type="paragraph" w:customStyle="1" w:styleId="70">
    <w:name w:val="UserStyle_4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2"/>
      <w:szCs w:val="22"/>
    </w:rPr>
  </w:style>
  <w:style w:type="paragraph" w:customStyle="1" w:styleId="71">
    <w:name w:val="UserStyle_43"/>
    <w:basedOn w:val="1"/>
    <w:uiPriority w:val="0"/>
    <w:pPr>
      <w:widowControl/>
      <w:spacing w:before="100" w:beforeAutospacing="1" w:after="100" w:afterAutospacing="1"/>
      <w:jc w:val="center"/>
      <w:textAlignment w:val="baseline"/>
    </w:pPr>
    <w:rPr>
      <w:rFonts w:ascii="宋体" w:hAnsi="宋体" w:cs="宋体"/>
      <w:b/>
      <w:bCs/>
      <w:kern w:val="0"/>
      <w:sz w:val="22"/>
      <w:szCs w:val="22"/>
    </w:rPr>
  </w:style>
  <w:style w:type="paragraph" w:customStyle="1" w:styleId="72">
    <w:name w:val="UserStyle_44"/>
    <w:basedOn w:val="1"/>
    <w:qFormat/>
    <w:uiPriority w:val="0"/>
    <w:pPr>
      <w:widowControl/>
      <w:spacing w:before="100" w:beforeAutospacing="1" w:after="100" w:afterAutospacing="1"/>
      <w:jc w:val="right"/>
      <w:textAlignment w:val="baseline"/>
    </w:pPr>
    <w:rPr>
      <w:rFonts w:ascii="宋体" w:hAnsi="宋体" w:cstheme="minorBidi"/>
      <w:kern w:val="0"/>
      <w:sz w:val="22"/>
      <w:szCs w:val="22"/>
    </w:rPr>
  </w:style>
  <w:style w:type="paragraph" w:customStyle="1" w:styleId="73">
    <w:name w:val="UserStyle_45"/>
    <w:basedOn w:val="1"/>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74">
    <w:name w:val="UserStyle_46"/>
    <w:basedOn w:val="1"/>
    <w:qFormat/>
    <w:uiPriority w:val="0"/>
    <w:pPr>
      <w:widowControl/>
      <w:spacing w:before="100" w:beforeAutospacing="1" w:after="100" w:afterAutospacing="1"/>
      <w:jc w:val="left"/>
      <w:textAlignment w:val="baseline"/>
    </w:pPr>
    <w:rPr>
      <w:rFonts w:ascii="宋体" w:hAnsi="宋体" w:cstheme="minorBidi"/>
      <w:kern w:val="0"/>
      <w:sz w:val="22"/>
      <w:szCs w:val="22"/>
    </w:rPr>
  </w:style>
  <w:style w:type="paragraph" w:customStyle="1" w:styleId="75">
    <w:name w:val="UserStyle_47"/>
    <w:basedOn w:val="1"/>
    <w:qFormat/>
    <w:uiPriority w:val="0"/>
    <w:pPr>
      <w:widowControl/>
      <w:pBdr>
        <w:top w:val="single" w:color="000000" w:sz="4" w:space="0"/>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6">
    <w:name w:val="UserStyle_4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7">
    <w:name w:val="UserStyle_49"/>
    <w:basedOn w:val="1"/>
    <w:uiPriority w:val="0"/>
    <w:pPr>
      <w:widowControl/>
      <w:pBdr>
        <w:bottom w:val="single" w:color="000000" w:sz="4" w:space="0"/>
      </w:pBdr>
      <w:spacing w:before="100" w:beforeAutospacing="1" w:after="100" w:afterAutospacing="1"/>
      <w:jc w:val="left"/>
      <w:textAlignment w:val="baseline"/>
    </w:pPr>
    <w:rPr>
      <w:rFonts w:ascii="宋体" w:hAnsi="宋体" w:cstheme="minorBidi"/>
      <w:kern w:val="0"/>
      <w:sz w:val="22"/>
      <w:szCs w:val="22"/>
    </w:rPr>
  </w:style>
  <w:style w:type="paragraph" w:customStyle="1" w:styleId="78">
    <w:name w:val="UserStyle_50"/>
    <w:basedOn w:val="1"/>
    <w:uiPriority w:val="0"/>
    <w:pPr>
      <w:widowControl/>
      <w:pBdr>
        <w:bottom w:val="single" w:color="000000" w:sz="4" w:space="0"/>
      </w:pBdr>
      <w:spacing w:before="100" w:beforeAutospacing="1" w:after="100" w:afterAutospacing="1"/>
      <w:jc w:val="right"/>
      <w:textAlignment w:val="baseline"/>
    </w:pPr>
    <w:rPr>
      <w:rFonts w:ascii="宋体" w:hAnsi="宋体" w:cstheme="minorBidi"/>
      <w:kern w:val="0"/>
      <w:sz w:val="22"/>
      <w:szCs w:val="22"/>
    </w:rPr>
  </w:style>
  <w:style w:type="paragraph" w:customStyle="1" w:styleId="79">
    <w:name w:val="UserStyle_51"/>
    <w:basedOn w:val="1"/>
    <w:qFormat/>
    <w:uiPriority w:val="0"/>
    <w:pPr>
      <w:widowControl/>
      <w:pBdr>
        <w:bottom w:val="single" w:color="000000" w:sz="4" w:space="0"/>
      </w:pBdr>
      <w:spacing w:before="100" w:beforeAutospacing="1" w:after="100" w:afterAutospacing="1"/>
      <w:jc w:val="left"/>
      <w:textAlignment w:val="baseline"/>
    </w:pPr>
    <w:rPr>
      <w:rFonts w:ascii="宋体" w:hAnsi="宋体" w:cstheme="minorBidi"/>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zcc</Company>
  <Pages>11</Pages>
  <Words>1293</Words>
  <Characters>7374</Characters>
  <Lines>61</Lines>
  <Paragraphs>17</Paragraphs>
  <TotalTime>0</TotalTime>
  <ScaleCrop>false</ScaleCrop>
  <LinksUpToDate>false</LinksUpToDate>
  <CharactersWithSpaces>8650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2021-04-02T02:47:00Z</dcterms:created>
  <dc:creator>Administrator</dc:creator>
  <cp:lastModifiedBy>W光泰</cp:lastModifiedBy>
  <dcterms:modified xsi:type="dcterms:W3CDTF">2021-06-18T02:13:25Z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A01A44312BF34FD6B4B839E7224E063A</vt:lpwstr>
  </property>
</Properties>
</file>